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val="0"/>
        <w:topLinePunct w:val="0"/>
        <w:autoSpaceDE/>
        <w:autoSpaceDN/>
        <w:bidi w:val="0"/>
        <w:spacing w:line="560" w:lineRule="exact"/>
        <w:ind w:firstLine="0" w:firstLineChars="0"/>
        <w:jc w:val="left"/>
        <w:textAlignment w:val="auto"/>
        <w:rPr>
          <w:rFonts w:hint="default" w:ascii="黑体" w:hAnsi="黑体" w:eastAsia="黑体" w:cs="黑体"/>
          <w:lang w:val="en-US" w:eastAsia="zh-CN"/>
        </w:rPr>
      </w:pPr>
      <w:r>
        <w:rPr>
          <w:rFonts w:hint="eastAsia" w:ascii="黑体" w:hAnsi="黑体" w:eastAsia="黑体" w:cs="黑体"/>
        </w:rPr>
        <w:t>附件</w:t>
      </w:r>
      <w:r>
        <w:rPr>
          <w:rFonts w:hint="eastAsia" w:ascii="黑体" w:hAnsi="黑体" w:eastAsia="黑体" w:cs="黑体"/>
          <w:lang w:val="en-US" w:eastAsia="zh-CN"/>
        </w:rPr>
        <w:t>4-2</w:t>
      </w:r>
    </w:p>
    <w:p>
      <w:pPr>
        <w:keepNext w:val="0"/>
        <w:keepLines w:val="0"/>
        <w:pageBreakBefore w:val="0"/>
        <w:kinsoku/>
        <w:wordWrap/>
        <w:overflowPunct w:val="0"/>
        <w:topLinePunct w:val="0"/>
        <w:autoSpaceDE/>
        <w:autoSpaceDN/>
        <w:bidi w:val="0"/>
        <w:spacing w:line="560" w:lineRule="exact"/>
        <w:jc w:val="center"/>
        <w:textAlignment w:val="auto"/>
        <w:rPr>
          <w:rFonts w:eastAsia="仿宋"/>
          <w:sz w:val="30"/>
          <w:szCs w:val="30"/>
        </w:rPr>
      </w:pPr>
    </w:p>
    <w:p>
      <w:pPr>
        <w:keepNext w:val="0"/>
        <w:keepLines w:val="0"/>
        <w:pageBreakBefore w:val="0"/>
        <w:kinsoku/>
        <w:wordWrap/>
        <w:overflowPunct w:val="0"/>
        <w:topLinePunct w:val="0"/>
        <w:autoSpaceDE/>
        <w:autoSpaceDN/>
        <w:bidi w:val="0"/>
        <w:spacing w:line="560" w:lineRule="exact"/>
        <w:jc w:val="center"/>
        <w:textAlignment w:val="auto"/>
        <w:rPr>
          <w:rFonts w:eastAsia="仿宋"/>
          <w:sz w:val="30"/>
          <w:szCs w:val="30"/>
        </w:rPr>
      </w:pPr>
    </w:p>
    <w:p>
      <w:pPr>
        <w:keepNext w:val="0"/>
        <w:keepLines w:val="0"/>
        <w:pageBreakBefore w:val="0"/>
        <w:kinsoku/>
        <w:wordWrap/>
        <w:overflowPunct w:val="0"/>
        <w:topLinePunct w:val="0"/>
        <w:autoSpaceDE/>
        <w:autoSpaceDN/>
        <w:bidi w:val="0"/>
        <w:spacing w:line="560" w:lineRule="exact"/>
        <w:ind w:firstLine="960"/>
        <w:jc w:val="center"/>
        <w:textAlignment w:val="auto"/>
        <w:rPr>
          <w:rFonts w:eastAsia="黑体"/>
          <w:sz w:val="48"/>
          <w:szCs w:val="48"/>
        </w:rPr>
      </w:pPr>
    </w:p>
    <w:p>
      <w:pPr>
        <w:keepNext w:val="0"/>
        <w:keepLines w:val="0"/>
        <w:pageBreakBefore w:val="0"/>
        <w:kinsoku/>
        <w:wordWrap/>
        <w:overflowPunct w:val="0"/>
        <w:topLinePunct w:val="0"/>
        <w:autoSpaceDE/>
        <w:autoSpaceDN/>
        <w:bidi w:val="0"/>
        <w:spacing w:line="560" w:lineRule="exact"/>
        <w:ind w:firstLine="960"/>
        <w:jc w:val="center"/>
        <w:textAlignment w:val="auto"/>
        <w:rPr>
          <w:rFonts w:eastAsia="黑体"/>
          <w:sz w:val="48"/>
          <w:szCs w:val="48"/>
        </w:rPr>
      </w:pPr>
    </w:p>
    <w:p>
      <w:pPr>
        <w:keepNext w:val="0"/>
        <w:keepLines w:val="0"/>
        <w:pageBreakBefore w:val="0"/>
        <w:kinsoku/>
        <w:wordWrap/>
        <w:overflowPunct w:val="0"/>
        <w:topLinePunct w:val="0"/>
        <w:autoSpaceDE/>
        <w:autoSpaceDN/>
        <w:bidi w:val="0"/>
        <w:spacing w:line="480" w:lineRule="auto"/>
        <w:ind w:firstLine="0" w:firstLineChars="0"/>
        <w:jc w:val="center"/>
        <w:textAlignment w:val="auto"/>
        <w:rPr>
          <w:rFonts w:ascii="方正小标宋简体" w:eastAsia="方正小标宋简体"/>
          <w:sz w:val="44"/>
          <w:szCs w:val="44"/>
        </w:rPr>
      </w:pPr>
      <w:r>
        <w:rPr>
          <w:rFonts w:hint="eastAsia" w:ascii="方正小标宋简体" w:eastAsia="方正小标宋简体"/>
          <w:sz w:val="44"/>
          <w:szCs w:val="44"/>
        </w:rPr>
        <w:t>化学药品注册受理审查指南</w:t>
      </w:r>
    </w:p>
    <w:p>
      <w:pPr>
        <w:keepNext w:val="0"/>
        <w:keepLines w:val="0"/>
        <w:pageBreakBefore w:val="0"/>
        <w:kinsoku/>
        <w:wordWrap/>
        <w:overflowPunct w:val="0"/>
        <w:topLinePunct w:val="0"/>
        <w:autoSpaceDE/>
        <w:autoSpaceDN/>
        <w:bidi w:val="0"/>
        <w:spacing w:line="480" w:lineRule="auto"/>
        <w:ind w:firstLine="0" w:firstLineChars="0"/>
        <w:jc w:val="center"/>
        <w:textAlignment w:val="auto"/>
        <w:rPr>
          <w:rFonts w:ascii="方正小标宋简体" w:hAnsi="黑体" w:eastAsia="方正小标宋简体" w:cs="仿宋_GB2312"/>
          <w:color w:val="000000"/>
          <w:sz w:val="44"/>
          <w:szCs w:val="44"/>
        </w:rPr>
      </w:pPr>
      <w:r>
        <w:rPr>
          <w:rFonts w:hint="eastAsia" w:ascii="方正小标宋简体" w:hAnsi="黑体" w:eastAsia="方正小标宋简体" w:cs="仿宋_GB2312"/>
          <w:color w:val="000000"/>
          <w:sz w:val="44"/>
          <w:szCs w:val="44"/>
        </w:rPr>
        <w:t>（第二部分</w:t>
      </w:r>
      <w:r>
        <w:rPr>
          <w:rFonts w:ascii="方正小标宋简体" w:hAnsi="黑体" w:eastAsia="方正小标宋简体" w:cs="仿宋_GB2312"/>
          <w:color w:val="000000"/>
          <w:sz w:val="44"/>
          <w:szCs w:val="44"/>
        </w:rPr>
        <w:t xml:space="preserve"> </w:t>
      </w:r>
      <w:r>
        <w:rPr>
          <w:rFonts w:hint="eastAsia" w:ascii="方正小标宋简体" w:hAnsi="黑体" w:eastAsia="方正小标宋简体" w:cs="仿宋_GB2312"/>
          <w:color w:val="000000"/>
          <w:sz w:val="44"/>
          <w:szCs w:val="44"/>
        </w:rPr>
        <w:t>注册分类</w:t>
      </w:r>
      <w:r>
        <w:rPr>
          <w:rFonts w:ascii="方正小标宋简体" w:hAnsi="黑体" w:eastAsia="方正小标宋简体" w:cs="仿宋_GB2312"/>
          <w:color w:val="000000"/>
          <w:sz w:val="44"/>
          <w:szCs w:val="44"/>
        </w:rPr>
        <w:t>3</w:t>
      </w:r>
      <w:r>
        <w:rPr>
          <w:rFonts w:hint="eastAsia" w:ascii="方正小标宋简体" w:hAnsi="黑体" w:eastAsia="方正小标宋简体" w:cs="仿宋_GB2312"/>
          <w:color w:val="000000"/>
          <w:sz w:val="44"/>
          <w:szCs w:val="44"/>
        </w:rPr>
        <w:t>、</w:t>
      </w:r>
      <w:r>
        <w:rPr>
          <w:rFonts w:ascii="方正小标宋简体" w:hAnsi="黑体" w:eastAsia="方正小标宋简体" w:cs="仿宋_GB2312"/>
          <w:color w:val="000000"/>
          <w:sz w:val="44"/>
          <w:szCs w:val="44"/>
        </w:rPr>
        <w:t>4</w:t>
      </w:r>
      <w:r>
        <w:rPr>
          <w:rFonts w:hint="eastAsia" w:ascii="方正小标宋简体" w:hAnsi="黑体" w:eastAsia="方正小标宋简体" w:cs="仿宋_GB2312"/>
          <w:color w:val="000000"/>
          <w:sz w:val="44"/>
          <w:szCs w:val="44"/>
        </w:rPr>
        <w:t>、</w:t>
      </w:r>
      <w:r>
        <w:rPr>
          <w:rFonts w:ascii="方正小标宋简体" w:hAnsi="黑体" w:eastAsia="方正小标宋简体" w:cs="仿宋_GB2312"/>
          <w:color w:val="000000"/>
          <w:sz w:val="44"/>
          <w:szCs w:val="44"/>
        </w:rPr>
        <w:t>5.2</w:t>
      </w:r>
      <w:r>
        <w:rPr>
          <w:rFonts w:hint="eastAsia" w:ascii="方正小标宋简体" w:hAnsi="黑体" w:eastAsia="方正小标宋简体" w:cs="仿宋_GB2312"/>
          <w:color w:val="000000"/>
          <w:sz w:val="44"/>
          <w:szCs w:val="44"/>
        </w:rPr>
        <w:t>类）</w:t>
      </w:r>
    </w:p>
    <w:p>
      <w:pPr>
        <w:keepNext w:val="0"/>
        <w:keepLines w:val="0"/>
        <w:pageBreakBefore w:val="0"/>
        <w:kinsoku/>
        <w:wordWrap/>
        <w:overflowPunct w:val="0"/>
        <w:topLinePunct w:val="0"/>
        <w:autoSpaceDE/>
        <w:autoSpaceDN/>
        <w:bidi w:val="0"/>
        <w:spacing w:line="480" w:lineRule="auto"/>
        <w:ind w:firstLine="0" w:firstLineChars="0"/>
        <w:jc w:val="center"/>
        <w:textAlignment w:val="auto"/>
        <w:rPr>
          <w:rFonts w:ascii="方正小标宋简体" w:eastAsia="方正小标宋简体"/>
          <w:sz w:val="44"/>
          <w:szCs w:val="44"/>
        </w:rPr>
      </w:pPr>
      <w:r>
        <w:rPr>
          <w:rFonts w:hint="eastAsia" w:ascii="方正小标宋简体" w:eastAsia="方正小标宋简体"/>
          <w:sz w:val="44"/>
          <w:szCs w:val="44"/>
        </w:rPr>
        <w:t>（征求意见稿）</w:t>
      </w:r>
    </w:p>
    <w:p>
      <w:pPr>
        <w:keepNext w:val="0"/>
        <w:keepLines w:val="0"/>
        <w:pageBreakBefore w:val="0"/>
        <w:kinsoku/>
        <w:wordWrap/>
        <w:overflowPunct w:val="0"/>
        <w:topLinePunct w:val="0"/>
        <w:autoSpaceDE/>
        <w:autoSpaceDN/>
        <w:bidi w:val="0"/>
        <w:spacing w:line="560" w:lineRule="exact"/>
        <w:jc w:val="center"/>
        <w:textAlignment w:val="auto"/>
        <w:rPr>
          <w:rFonts w:eastAsia="仿宋"/>
          <w:sz w:val="30"/>
          <w:szCs w:val="30"/>
        </w:rPr>
      </w:pPr>
    </w:p>
    <w:p>
      <w:pPr>
        <w:keepNext w:val="0"/>
        <w:keepLines w:val="0"/>
        <w:pageBreakBefore w:val="0"/>
        <w:kinsoku/>
        <w:wordWrap/>
        <w:overflowPunct w:val="0"/>
        <w:topLinePunct w:val="0"/>
        <w:autoSpaceDE/>
        <w:autoSpaceDN/>
        <w:bidi w:val="0"/>
        <w:spacing w:line="560" w:lineRule="exact"/>
        <w:jc w:val="center"/>
        <w:textAlignment w:val="auto"/>
        <w:rPr>
          <w:rFonts w:eastAsia="仿宋"/>
          <w:sz w:val="30"/>
          <w:szCs w:val="30"/>
        </w:rPr>
      </w:pPr>
    </w:p>
    <w:p>
      <w:pPr>
        <w:keepNext w:val="0"/>
        <w:keepLines w:val="0"/>
        <w:pageBreakBefore w:val="0"/>
        <w:kinsoku/>
        <w:wordWrap/>
        <w:overflowPunct w:val="0"/>
        <w:topLinePunct w:val="0"/>
        <w:autoSpaceDE/>
        <w:autoSpaceDN/>
        <w:bidi w:val="0"/>
        <w:spacing w:line="560" w:lineRule="exact"/>
        <w:jc w:val="center"/>
        <w:textAlignment w:val="auto"/>
        <w:rPr>
          <w:rFonts w:eastAsia="仿宋"/>
          <w:sz w:val="30"/>
          <w:szCs w:val="30"/>
        </w:rPr>
      </w:pPr>
    </w:p>
    <w:p>
      <w:pPr>
        <w:keepNext w:val="0"/>
        <w:keepLines w:val="0"/>
        <w:pageBreakBefore w:val="0"/>
        <w:kinsoku/>
        <w:wordWrap/>
        <w:overflowPunct w:val="0"/>
        <w:topLinePunct w:val="0"/>
        <w:autoSpaceDE/>
        <w:autoSpaceDN/>
        <w:bidi w:val="0"/>
        <w:spacing w:line="560" w:lineRule="exact"/>
        <w:jc w:val="center"/>
        <w:textAlignment w:val="auto"/>
        <w:rPr>
          <w:rFonts w:eastAsia="仿宋"/>
          <w:sz w:val="30"/>
          <w:szCs w:val="30"/>
        </w:rPr>
      </w:pPr>
    </w:p>
    <w:p>
      <w:pPr>
        <w:keepNext w:val="0"/>
        <w:keepLines w:val="0"/>
        <w:pageBreakBefore w:val="0"/>
        <w:kinsoku/>
        <w:wordWrap/>
        <w:overflowPunct w:val="0"/>
        <w:topLinePunct w:val="0"/>
        <w:autoSpaceDE/>
        <w:autoSpaceDN/>
        <w:bidi w:val="0"/>
        <w:spacing w:line="560" w:lineRule="exact"/>
        <w:jc w:val="center"/>
        <w:textAlignment w:val="auto"/>
        <w:rPr>
          <w:rFonts w:eastAsia="仿宋"/>
          <w:sz w:val="30"/>
          <w:szCs w:val="30"/>
        </w:rPr>
      </w:pPr>
      <w:bookmarkStart w:id="20" w:name="_GoBack"/>
      <w:bookmarkEnd w:id="20"/>
    </w:p>
    <w:p>
      <w:pPr>
        <w:keepNext w:val="0"/>
        <w:keepLines w:val="0"/>
        <w:pageBreakBefore w:val="0"/>
        <w:kinsoku/>
        <w:wordWrap/>
        <w:overflowPunct w:val="0"/>
        <w:topLinePunct w:val="0"/>
        <w:autoSpaceDE/>
        <w:autoSpaceDN/>
        <w:bidi w:val="0"/>
        <w:spacing w:line="560" w:lineRule="exact"/>
        <w:jc w:val="center"/>
        <w:textAlignment w:val="auto"/>
        <w:rPr>
          <w:rFonts w:eastAsia="仿宋"/>
          <w:sz w:val="30"/>
          <w:szCs w:val="30"/>
        </w:rPr>
      </w:pPr>
    </w:p>
    <w:p>
      <w:pPr>
        <w:keepNext w:val="0"/>
        <w:keepLines w:val="0"/>
        <w:pageBreakBefore w:val="0"/>
        <w:kinsoku/>
        <w:wordWrap/>
        <w:overflowPunct w:val="0"/>
        <w:topLinePunct w:val="0"/>
        <w:autoSpaceDE/>
        <w:autoSpaceDN/>
        <w:bidi w:val="0"/>
        <w:spacing w:line="560" w:lineRule="exact"/>
        <w:jc w:val="center"/>
        <w:textAlignment w:val="auto"/>
        <w:rPr>
          <w:rFonts w:eastAsia="仿宋"/>
          <w:sz w:val="30"/>
          <w:szCs w:val="30"/>
        </w:rPr>
      </w:pPr>
    </w:p>
    <w:p>
      <w:pPr>
        <w:keepNext w:val="0"/>
        <w:keepLines w:val="0"/>
        <w:pageBreakBefore w:val="0"/>
        <w:kinsoku/>
        <w:wordWrap/>
        <w:overflowPunct w:val="0"/>
        <w:topLinePunct w:val="0"/>
        <w:autoSpaceDE/>
        <w:autoSpaceDN/>
        <w:bidi w:val="0"/>
        <w:spacing w:line="560" w:lineRule="exact"/>
        <w:jc w:val="center"/>
        <w:textAlignment w:val="auto"/>
        <w:rPr>
          <w:rFonts w:eastAsia="仿宋"/>
          <w:sz w:val="30"/>
          <w:szCs w:val="30"/>
        </w:rPr>
      </w:pPr>
    </w:p>
    <w:p>
      <w:pPr>
        <w:keepNext w:val="0"/>
        <w:keepLines w:val="0"/>
        <w:pageBreakBefore w:val="0"/>
        <w:kinsoku/>
        <w:wordWrap/>
        <w:overflowPunct w:val="0"/>
        <w:topLinePunct w:val="0"/>
        <w:autoSpaceDE/>
        <w:autoSpaceDN/>
        <w:bidi w:val="0"/>
        <w:spacing w:line="560" w:lineRule="exact"/>
        <w:jc w:val="center"/>
        <w:textAlignment w:val="auto"/>
        <w:rPr>
          <w:rFonts w:eastAsia="仿宋"/>
          <w:sz w:val="30"/>
          <w:szCs w:val="30"/>
        </w:rPr>
      </w:pPr>
    </w:p>
    <w:p>
      <w:pPr>
        <w:keepNext w:val="0"/>
        <w:keepLines w:val="0"/>
        <w:pageBreakBefore w:val="0"/>
        <w:kinsoku/>
        <w:wordWrap/>
        <w:overflowPunct w:val="0"/>
        <w:topLinePunct w:val="0"/>
        <w:autoSpaceDE/>
        <w:autoSpaceDN/>
        <w:bidi w:val="0"/>
        <w:spacing w:line="560" w:lineRule="exact"/>
        <w:jc w:val="center"/>
        <w:textAlignment w:val="auto"/>
        <w:rPr>
          <w:rFonts w:eastAsia="仿宋"/>
          <w:sz w:val="30"/>
          <w:szCs w:val="30"/>
        </w:rPr>
      </w:pPr>
    </w:p>
    <w:p>
      <w:pPr>
        <w:keepNext w:val="0"/>
        <w:keepLines w:val="0"/>
        <w:pageBreakBefore w:val="0"/>
        <w:kinsoku/>
        <w:wordWrap/>
        <w:overflowPunct w:val="0"/>
        <w:topLinePunct w:val="0"/>
        <w:autoSpaceDE/>
        <w:autoSpaceDN/>
        <w:bidi w:val="0"/>
        <w:spacing w:line="560" w:lineRule="exact"/>
        <w:ind w:firstLine="181" w:firstLineChars="0"/>
        <w:jc w:val="center"/>
        <w:textAlignment w:val="auto"/>
        <w:rPr>
          <w:rFonts w:ascii="仿宋_GB2312" w:cs="仿宋"/>
        </w:rPr>
      </w:pPr>
      <w:r>
        <w:rPr>
          <w:rFonts w:hint="eastAsia" w:ascii="仿宋_GB2312" w:cs="仿宋"/>
        </w:rPr>
        <w:t>国家药品监督管理局</w:t>
      </w:r>
    </w:p>
    <w:p>
      <w:pPr>
        <w:keepNext w:val="0"/>
        <w:keepLines w:val="0"/>
        <w:pageBreakBefore w:val="0"/>
        <w:kinsoku/>
        <w:wordWrap/>
        <w:overflowPunct w:val="0"/>
        <w:topLinePunct w:val="0"/>
        <w:autoSpaceDE/>
        <w:autoSpaceDN/>
        <w:bidi w:val="0"/>
        <w:spacing w:line="560" w:lineRule="exact"/>
        <w:ind w:firstLine="0" w:firstLineChars="0"/>
        <w:jc w:val="center"/>
        <w:textAlignment w:val="auto"/>
        <w:rPr>
          <w:rFonts w:ascii="仿宋_GB2312"/>
        </w:rPr>
      </w:pPr>
      <w:r>
        <w:t>2020</w:t>
      </w:r>
      <w:r>
        <w:rPr>
          <w:rFonts w:hint="eastAsia"/>
        </w:rPr>
        <w:t>年</w:t>
      </w:r>
    </w:p>
    <w:p>
      <w:pPr>
        <w:pStyle w:val="9"/>
        <w:keepNext w:val="0"/>
        <w:keepLines w:val="0"/>
        <w:pageBreakBefore w:val="0"/>
        <w:kinsoku/>
        <w:wordWrap/>
        <w:overflowPunct w:val="0"/>
        <w:topLinePunct w:val="0"/>
        <w:autoSpaceDE/>
        <w:autoSpaceDN/>
        <w:bidi w:val="0"/>
        <w:spacing w:after="240" w:line="560" w:lineRule="exact"/>
        <w:ind w:firstLine="0" w:firstLineChars="0"/>
        <w:textAlignment w:val="auto"/>
        <w:rPr>
          <w:sz w:val="36"/>
          <w:szCs w:val="36"/>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1928" w:right="1531" w:bottom="1814" w:left="1531" w:header="851" w:footer="992" w:gutter="0"/>
          <w:cols w:space="0" w:num="1"/>
          <w:rtlGutter w:val="0"/>
          <w:docGrid w:type="lines" w:linePitch="436" w:charSpace="0"/>
        </w:sectPr>
      </w:pPr>
    </w:p>
    <w:p>
      <w:pPr>
        <w:pStyle w:val="9"/>
        <w:keepNext w:val="0"/>
        <w:keepLines w:val="0"/>
        <w:pageBreakBefore w:val="0"/>
        <w:kinsoku/>
        <w:wordWrap/>
        <w:overflowPunct w:val="0"/>
        <w:topLinePunct w:val="0"/>
        <w:autoSpaceDE/>
        <w:autoSpaceDN/>
        <w:bidi w:val="0"/>
        <w:spacing w:line="560" w:lineRule="exact"/>
        <w:ind w:firstLine="0" w:firstLineChars="0"/>
        <w:textAlignment w:val="auto"/>
        <w:rPr>
          <w:b w:val="0"/>
          <w:sz w:val="44"/>
          <w:szCs w:val="44"/>
        </w:rPr>
      </w:pPr>
      <w:r>
        <w:rPr>
          <w:rFonts w:hint="eastAsia"/>
          <w:b w:val="0"/>
          <w:sz w:val="44"/>
          <w:szCs w:val="44"/>
        </w:rPr>
        <w:t>目</w:t>
      </w:r>
      <w:r>
        <w:rPr>
          <w:b w:val="0"/>
          <w:sz w:val="44"/>
          <w:szCs w:val="44"/>
        </w:rPr>
        <w:t xml:space="preserve">  </w:t>
      </w:r>
      <w:r>
        <w:rPr>
          <w:rFonts w:hint="eastAsia"/>
          <w:b w:val="0"/>
          <w:sz w:val="44"/>
          <w:szCs w:val="44"/>
        </w:rPr>
        <w:t>录</w:t>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cs="Times New Roman" w:eastAsiaTheme="minorEastAsia"/>
          <w:b w:val="0"/>
          <w:sz w:val="21"/>
          <w:szCs w:val="22"/>
        </w:rPr>
      </w:pPr>
      <w:r>
        <w:rPr>
          <w:rFonts w:hint="default" w:ascii="Times New Roman" w:hAnsi="Times New Roman" w:eastAsia="仿宋_GB2312" w:cs="Times New Roman"/>
          <w:b w:val="0"/>
        </w:rPr>
        <w:fldChar w:fldCharType="begin"/>
      </w:r>
      <w:r>
        <w:rPr>
          <w:rFonts w:hint="default" w:ascii="Times New Roman" w:hAnsi="Times New Roman" w:eastAsia="仿宋_GB2312" w:cs="Times New Roman"/>
          <w:b w:val="0"/>
        </w:rPr>
        <w:instrText xml:space="preserve"> TOC \o "1-4" \h \z \u </w:instrText>
      </w:r>
      <w:r>
        <w:rPr>
          <w:rFonts w:hint="default" w:ascii="Times New Roman" w:hAnsi="Times New Roman" w:eastAsia="仿宋_GB2312" w:cs="Times New Roman"/>
          <w:b w:val="0"/>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"_Toc36757009" </w:instrText>
      </w:r>
      <w:r>
        <w:rPr>
          <w:rFonts w:hint="default" w:ascii="Times New Roman" w:hAnsi="Times New Roman" w:cs="Times New Roman"/>
        </w:rPr>
        <w:fldChar w:fldCharType="separate"/>
      </w:r>
      <w:r>
        <w:rPr>
          <w:rStyle w:val="22"/>
          <w:rFonts w:hint="default" w:ascii="Times New Roman" w:hAnsi="Times New Roman" w:cs="Times New Roman"/>
          <w:b w:val="0"/>
        </w:rPr>
        <w:t>一、适用范围</w:t>
      </w:r>
      <w:r>
        <w:rPr>
          <w:rFonts w:hint="default" w:ascii="Times New Roman" w:hAnsi="Times New Roman" w:cs="Times New Roman"/>
          <w:b w:val="0"/>
        </w:rPr>
        <w:tab/>
      </w:r>
      <w:r>
        <w:rPr>
          <w:rFonts w:hint="default" w:ascii="Times New Roman" w:hAnsi="Times New Roman" w:cs="Times New Roman"/>
          <w:b w:val="0"/>
        </w:rPr>
        <w:fldChar w:fldCharType="begin"/>
      </w:r>
      <w:r>
        <w:rPr>
          <w:rFonts w:hint="default" w:ascii="Times New Roman" w:hAnsi="Times New Roman" w:cs="Times New Roman"/>
          <w:b w:val="0"/>
        </w:rPr>
        <w:instrText xml:space="preserve"> PAGEREF _Toc36757009 \h </w:instrText>
      </w:r>
      <w:r>
        <w:rPr>
          <w:rFonts w:hint="default" w:ascii="Times New Roman" w:hAnsi="Times New Roman" w:cs="Times New Roman"/>
          <w:b w:val="0"/>
        </w:rPr>
        <w:fldChar w:fldCharType="separate"/>
      </w:r>
      <w:r>
        <w:rPr>
          <w:rFonts w:hint="default" w:ascii="Times New Roman" w:hAnsi="Times New Roman" w:cs="Times New Roman"/>
          <w:b w:val="0"/>
        </w:rPr>
        <w:t>1</w:t>
      </w:r>
      <w:r>
        <w:rPr>
          <w:rFonts w:hint="default" w:ascii="Times New Roman" w:hAnsi="Times New Roman" w:cs="Times New Roman"/>
          <w:b w:val="0"/>
        </w:rPr>
        <w:fldChar w:fldCharType="end"/>
      </w:r>
      <w:r>
        <w:rPr>
          <w:rFonts w:hint="default" w:ascii="Times New Roman" w:hAnsi="Times New Roman" w:cs="Times New Roman"/>
          <w:b w:val="0"/>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cs="Times New Roman" w:eastAsiaTheme="minorEastAsia"/>
          <w:b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"_Toc36757010" </w:instrText>
      </w:r>
      <w:r>
        <w:rPr>
          <w:rFonts w:hint="default" w:ascii="Times New Roman" w:hAnsi="Times New Roman" w:cs="Times New Roman"/>
        </w:rPr>
        <w:fldChar w:fldCharType="separate"/>
      </w:r>
      <w:r>
        <w:rPr>
          <w:rStyle w:val="22"/>
          <w:rFonts w:hint="default" w:ascii="Times New Roman" w:hAnsi="Times New Roman" w:cs="Times New Roman"/>
          <w:b w:val="0"/>
        </w:rPr>
        <w:t>二、受理部门</w:t>
      </w:r>
      <w:r>
        <w:rPr>
          <w:rFonts w:hint="default" w:ascii="Times New Roman" w:hAnsi="Times New Roman" w:cs="Times New Roman"/>
          <w:b w:val="0"/>
        </w:rPr>
        <w:tab/>
      </w:r>
      <w:r>
        <w:rPr>
          <w:rFonts w:hint="default" w:ascii="Times New Roman" w:hAnsi="Times New Roman" w:cs="Times New Roman"/>
          <w:b w:val="0"/>
        </w:rPr>
        <w:fldChar w:fldCharType="begin"/>
      </w:r>
      <w:r>
        <w:rPr>
          <w:rFonts w:hint="default" w:ascii="Times New Roman" w:hAnsi="Times New Roman" w:cs="Times New Roman"/>
          <w:b w:val="0"/>
        </w:rPr>
        <w:instrText xml:space="preserve"> PAGEREF _Toc36757010 \h </w:instrText>
      </w:r>
      <w:r>
        <w:rPr>
          <w:rFonts w:hint="default" w:ascii="Times New Roman" w:hAnsi="Times New Roman" w:cs="Times New Roman"/>
          <w:b w:val="0"/>
        </w:rPr>
        <w:fldChar w:fldCharType="separate"/>
      </w:r>
      <w:r>
        <w:rPr>
          <w:rFonts w:hint="default" w:ascii="Times New Roman" w:hAnsi="Times New Roman" w:cs="Times New Roman"/>
          <w:b w:val="0"/>
        </w:rPr>
        <w:t>1</w:t>
      </w:r>
      <w:r>
        <w:rPr>
          <w:rFonts w:hint="default" w:ascii="Times New Roman" w:hAnsi="Times New Roman" w:cs="Times New Roman"/>
          <w:b w:val="0"/>
        </w:rPr>
        <w:fldChar w:fldCharType="end"/>
      </w:r>
      <w:r>
        <w:rPr>
          <w:rFonts w:hint="default" w:ascii="Times New Roman" w:hAnsi="Times New Roman" w:cs="Times New Roman"/>
          <w:b w:val="0"/>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cs="Times New Roman" w:eastAsiaTheme="minorEastAsia"/>
          <w:b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"_Toc36757011" </w:instrText>
      </w:r>
      <w:r>
        <w:rPr>
          <w:rFonts w:hint="default" w:ascii="Times New Roman" w:hAnsi="Times New Roman" w:cs="Times New Roman"/>
        </w:rPr>
        <w:fldChar w:fldCharType="separate"/>
      </w:r>
      <w:r>
        <w:rPr>
          <w:rStyle w:val="22"/>
          <w:rFonts w:hint="default" w:ascii="Times New Roman" w:hAnsi="Times New Roman" w:cs="Times New Roman"/>
          <w:b w:val="0"/>
        </w:rPr>
        <w:t>三、资料基本要求</w:t>
      </w:r>
      <w:r>
        <w:rPr>
          <w:rFonts w:hint="default" w:ascii="Times New Roman" w:hAnsi="Times New Roman" w:cs="Times New Roman"/>
          <w:b w:val="0"/>
        </w:rPr>
        <w:tab/>
      </w:r>
      <w:r>
        <w:rPr>
          <w:rFonts w:hint="default" w:ascii="Times New Roman" w:hAnsi="Times New Roman" w:cs="Times New Roman"/>
          <w:b w:val="0"/>
        </w:rPr>
        <w:fldChar w:fldCharType="begin"/>
      </w:r>
      <w:r>
        <w:rPr>
          <w:rFonts w:hint="default" w:ascii="Times New Roman" w:hAnsi="Times New Roman" w:cs="Times New Roman"/>
          <w:b w:val="0"/>
        </w:rPr>
        <w:instrText xml:space="preserve"> PAGEREF _Toc36757011 \h </w:instrText>
      </w:r>
      <w:r>
        <w:rPr>
          <w:rFonts w:hint="default" w:ascii="Times New Roman" w:hAnsi="Times New Roman" w:cs="Times New Roman"/>
          <w:b w:val="0"/>
        </w:rPr>
        <w:fldChar w:fldCharType="separate"/>
      </w:r>
      <w:r>
        <w:rPr>
          <w:rFonts w:hint="default" w:ascii="Times New Roman" w:hAnsi="Times New Roman" w:cs="Times New Roman"/>
          <w:b w:val="0"/>
        </w:rPr>
        <w:t>1</w:t>
      </w:r>
      <w:r>
        <w:rPr>
          <w:rFonts w:hint="default" w:ascii="Times New Roman" w:hAnsi="Times New Roman" w:cs="Times New Roman"/>
          <w:b w:val="0"/>
        </w:rPr>
        <w:fldChar w:fldCharType="end"/>
      </w:r>
      <w:r>
        <w:rPr>
          <w:rFonts w:hint="default" w:ascii="Times New Roman" w:hAnsi="Times New Roman" w:cs="Times New Roman"/>
          <w:b w:val="0"/>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eastAsia="仿宋_GB2312" w:cs="Times New Roman"/>
          <w:b w:val="0"/>
          <w:bCs/>
          <w:sz w:val="30"/>
          <w:szCs w:val="30"/>
        </w:rPr>
      </w:pPr>
      <w:r>
        <w:rPr>
          <w:rFonts w:hint="eastAsia" w:ascii="Times New Roman" w:hAnsi="Times New Roman" w:eastAsia="仿宋_GB2312" w:cs="Times New Roman"/>
          <w:b w:val="0"/>
          <w:bCs/>
          <w:sz w:val="30"/>
          <w:szCs w:val="30"/>
          <w:lang w:val="en-US" w:eastAsia="zh-CN"/>
        </w:rPr>
        <w:t xml:space="preserve">  </w:t>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HYPERLINK \l "_Toc36757012"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（一）申请表的整理</w:t>
      </w:r>
      <w:r>
        <w:rPr>
          <w:rFonts w:hint="default" w:ascii="Times New Roman" w:hAnsi="Times New Roman" w:eastAsia="仿宋_GB2312" w:cs="Times New Roman"/>
          <w:b w:val="0"/>
          <w:bCs/>
          <w:sz w:val="30"/>
          <w:szCs w:val="30"/>
        </w:rPr>
        <w:tab/>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PAGEREF _Toc36757012 \h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1</w:t>
      </w:r>
      <w:r>
        <w:rPr>
          <w:rFonts w:hint="default" w:ascii="Times New Roman" w:hAnsi="Times New Roman" w:eastAsia="仿宋_GB2312" w:cs="Times New Roman"/>
          <w:b w:val="0"/>
          <w:bCs/>
          <w:sz w:val="30"/>
          <w:szCs w:val="30"/>
        </w:rPr>
        <w:fldChar w:fldCharType="end"/>
      </w:r>
      <w:r>
        <w:rPr>
          <w:rFonts w:hint="default" w:ascii="Times New Roman" w:hAnsi="Times New Roman" w:eastAsia="仿宋_GB2312" w:cs="Times New Roman"/>
          <w:b w:val="0"/>
          <w:bCs/>
          <w:sz w:val="30"/>
          <w:szCs w:val="30"/>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eastAsia="仿宋_GB2312" w:cs="Times New Roman"/>
          <w:b w:val="0"/>
          <w:bCs/>
          <w:sz w:val="30"/>
          <w:szCs w:val="30"/>
        </w:rPr>
      </w:pPr>
      <w:r>
        <w:rPr>
          <w:rFonts w:hint="eastAsia" w:ascii="Times New Roman" w:hAnsi="Times New Roman" w:eastAsia="仿宋_GB2312" w:cs="Times New Roman"/>
          <w:b w:val="0"/>
          <w:bCs/>
          <w:sz w:val="30"/>
          <w:szCs w:val="30"/>
          <w:lang w:val="en-US" w:eastAsia="zh-CN"/>
        </w:rPr>
        <w:t xml:space="preserve">  </w:t>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HYPERLINK \l "_Toc36757013"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（二）申报资料的整理</w:t>
      </w:r>
      <w:r>
        <w:rPr>
          <w:rFonts w:hint="default" w:ascii="Times New Roman" w:hAnsi="Times New Roman" w:eastAsia="仿宋_GB2312" w:cs="Times New Roman"/>
          <w:b w:val="0"/>
          <w:bCs/>
          <w:sz w:val="30"/>
          <w:szCs w:val="30"/>
        </w:rPr>
        <w:tab/>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PAGEREF _Toc36757013 \h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1</w:t>
      </w:r>
      <w:r>
        <w:rPr>
          <w:rFonts w:hint="default" w:ascii="Times New Roman" w:hAnsi="Times New Roman" w:eastAsia="仿宋_GB2312" w:cs="Times New Roman"/>
          <w:b w:val="0"/>
          <w:bCs/>
          <w:sz w:val="30"/>
          <w:szCs w:val="30"/>
        </w:rPr>
        <w:fldChar w:fldCharType="end"/>
      </w:r>
      <w:r>
        <w:rPr>
          <w:rFonts w:hint="default" w:ascii="Times New Roman" w:hAnsi="Times New Roman" w:eastAsia="仿宋_GB2312" w:cs="Times New Roman"/>
          <w:b w:val="0"/>
          <w:bCs/>
          <w:sz w:val="30"/>
          <w:szCs w:val="30"/>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cs="Times New Roman" w:eastAsiaTheme="minorEastAsia"/>
          <w:b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"_Toc36757014" </w:instrText>
      </w:r>
      <w:r>
        <w:rPr>
          <w:rFonts w:hint="default" w:ascii="Times New Roman" w:hAnsi="Times New Roman" w:cs="Times New Roman"/>
        </w:rPr>
        <w:fldChar w:fldCharType="separate"/>
      </w:r>
      <w:r>
        <w:rPr>
          <w:rStyle w:val="22"/>
          <w:rFonts w:hint="default" w:ascii="Times New Roman" w:hAnsi="Times New Roman" w:cs="Times New Roman"/>
          <w:b w:val="0"/>
        </w:rPr>
        <w:t>四、形式审查要点</w:t>
      </w:r>
      <w:r>
        <w:rPr>
          <w:rFonts w:hint="default" w:ascii="Times New Roman" w:hAnsi="Times New Roman" w:cs="Times New Roman"/>
          <w:b w:val="0"/>
        </w:rPr>
        <w:tab/>
      </w:r>
      <w:r>
        <w:rPr>
          <w:rFonts w:hint="default" w:ascii="Times New Roman" w:hAnsi="Times New Roman" w:cs="Times New Roman"/>
          <w:b w:val="0"/>
        </w:rPr>
        <w:fldChar w:fldCharType="begin"/>
      </w:r>
      <w:r>
        <w:rPr>
          <w:rFonts w:hint="default" w:ascii="Times New Roman" w:hAnsi="Times New Roman" w:cs="Times New Roman"/>
          <w:b w:val="0"/>
        </w:rPr>
        <w:instrText xml:space="preserve"> PAGEREF _Toc36757014 \h </w:instrText>
      </w:r>
      <w:r>
        <w:rPr>
          <w:rFonts w:hint="default" w:ascii="Times New Roman" w:hAnsi="Times New Roman" w:cs="Times New Roman"/>
          <w:b w:val="0"/>
        </w:rPr>
        <w:fldChar w:fldCharType="separate"/>
      </w:r>
      <w:r>
        <w:rPr>
          <w:rFonts w:hint="default" w:ascii="Times New Roman" w:hAnsi="Times New Roman" w:cs="Times New Roman"/>
          <w:b w:val="0"/>
        </w:rPr>
        <w:t>2</w:t>
      </w:r>
      <w:r>
        <w:rPr>
          <w:rFonts w:hint="default" w:ascii="Times New Roman" w:hAnsi="Times New Roman" w:cs="Times New Roman"/>
          <w:b w:val="0"/>
        </w:rPr>
        <w:fldChar w:fldCharType="end"/>
      </w:r>
      <w:r>
        <w:rPr>
          <w:rFonts w:hint="default" w:ascii="Times New Roman" w:hAnsi="Times New Roman" w:cs="Times New Roman"/>
          <w:b w:val="0"/>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eastAsia="仿宋_GB2312" w:cs="Times New Roman"/>
          <w:b w:val="0"/>
          <w:bCs/>
          <w:sz w:val="30"/>
          <w:szCs w:val="30"/>
        </w:rPr>
      </w:pPr>
      <w:r>
        <w:rPr>
          <w:rFonts w:hint="eastAsia" w:ascii="Times New Roman" w:hAnsi="Times New Roman" w:eastAsia="仿宋_GB2312" w:cs="Times New Roman"/>
          <w:b w:val="0"/>
          <w:bCs/>
          <w:sz w:val="30"/>
          <w:szCs w:val="30"/>
          <w:lang w:val="en-US" w:eastAsia="zh-CN"/>
        </w:rPr>
        <w:t xml:space="preserve">  </w:t>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HYPERLINK \l "_Toc36757015"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（一）申报事项审查要点</w:t>
      </w:r>
      <w:r>
        <w:rPr>
          <w:rFonts w:hint="default" w:ascii="Times New Roman" w:hAnsi="Times New Roman" w:eastAsia="仿宋_GB2312" w:cs="Times New Roman"/>
          <w:b w:val="0"/>
          <w:bCs/>
          <w:sz w:val="30"/>
          <w:szCs w:val="30"/>
        </w:rPr>
        <w:tab/>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PAGEREF _Toc36757015 \h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2</w:t>
      </w:r>
      <w:r>
        <w:rPr>
          <w:rFonts w:hint="default" w:ascii="Times New Roman" w:hAnsi="Times New Roman" w:eastAsia="仿宋_GB2312" w:cs="Times New Roman"/>
          <w:b w:val="0"/>
          <w:bCs/>
          <w:sz w:val="30"/>
          <w:szCs w:val="30"/>
        </w:rPr>
        <w:fldChar w:fldCharType="end"/>
      </w:r>
      <w:r>
        <w:rPr>
          <w:rFonts w:hint="default" w:ascii="Times New Roman" w:hAnsi="Times New Roman" w:eastAsia="仿宋_GB2312" w:cs="Times New Roman"/>
          <w:b w:val="0"/>
          <w:bCs/>
          <w:sz w:val="30"/>
          <w:szCs w:val="30"/>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eastAsia="仿宋_GB2312" w:cs="Times New Roman"/>
          <w:b w:val="0"/>
          <w:bCs/>
          <w:sz w:val="30"/>
          <w:szCs w:val="30"/>
        </w:rPr>
      </w:pPr>
      <w:r>
        <w:rPr>
          <w:rFonts w:hint="eastAsia" w:ascii="Times New Roman" w:hAnsi="Times New Roman" w:eastAsia="仿宋_GB2312" w:cs="Times New Roman"/>
          <w:b w:val="0"/>
          <w:bCs/>
          <w:sz w:val="30"/>
          <w:szCs w:val="30"/>
          <w:lang w:val="en-US" w:eastAsia="zh-CN"/>
        </w:rPr>
        <w:t xml:space="preserve">  </w:t>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HYPERLINK \l "_Toc36757016"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（二）沟通交流审查要点</w:t>
      </w:r>
      <w:r>
        <w:rPr>
          <w:rFonts w:hint="default" w:ascii="Times New Roman" w:hAnsi="Times New Roman" w:eastAsia="仿宋_GB2312" w:cs="Times New Roman"/>
          <w:b w:val="0"/>
          <w:bCs/>
          <w:sz w:val="30"/>
          <w:szCs w:val="30"/>
        </w:rPr>
        <w:tab/>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PAGEREF _Toc36757016 \h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2</w:t>
      </w:r>
      <w:r>
        <w:rPr>
          <w:rFonts w:hint="default" w:ascii="Times New Roman" w:hAnsi="Times New Roman" w:eastAsia="仿宋_GB2312" w:cs="Times New Roman"/>
          <w:b w:val="0"/>
          <w:bCs/>
          <w:sz w:val="30"/>
          <w:szCs w:val="30"/>
        </w:rPr>
        <w:fldChar w:fldCharType="end"/>
      </w:r>
      <w:r>
        <w:rPr>
          <w:rFonts w:hint="default" w:ascii="Times New Roman" w:hAnsi="Times New Roman" w:eastAsia="仿宋_GB2312" w:cs="Times New Roman"/>
          <w:b w:val="0"/>
          <w:bCs/>
          <w:sz w:val="30"/>
          <w:szCs w:val="30"/>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eastAsia="仿宋_GB2312" w:cs="Times New Roman"/>
          <w:b w:val="0"/>
          <w:bCs/>
          <w:sz w:val="30"/>
          <w:szCs w:val="30"/>
        </w:rPr>
      </w:pPr>
      <w:r>
        <w:rPr>
          <w:rFonts w:hint="eastAsia" w:ascii="Times New Roman" w:hAnsi="Times New Roman" w:eastAsia="仿宋_GB2312" w:cs="Times New Roman"/>
          <w:b w:val="0"/>
          <w:bCs/>
          <w:sz w:val="30"/>
          <w:szCs w:val="30"/>
          <w:lang w:val="en-US" w:eastAsia="zh-CN"/>
        </w:rPr>
        <w:t xml:space="preserve">  </w:t>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HYPERLINK \l "_Toc36757017"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（三）申请表审查要点</w:t>
      </w:r>
      <w:r>
        <w:rPr>
          <w:rFonts w:hint="default" w:ascii="Times New Roman" w:hAnsi="Times New Roman" w:eastAsia="仿宋_GB2312" w:cs="Times New Roman"/>
          <w:b w:val="0"/>
          <w:bCs/>
          <w:sz w:val="30"/>
          <w:szCs w:val="30"/>
        </w:rPr>
        <w:tab/>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PAGEREF _Toc36757017 \h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3</w:t>
      </w:r>
      <w:r>
        <w:rPr>
          <w:rFonts w:hint="default" w:ascii="Times New Roman" w:hAnsi="Times New Roman" w:eastAsia="仿宋_GB2312" w:cs="Times New Roman"/>
          <w:b w:val="0"/>
          <w:bCs/>
          <w:sz w:val="30"/>
          <w:szCs w:val="30"/>
        </w:rPr>
        <w:fldChar w:fldCharType="end"/>
      </w:r>
      <w:r>
        <w:rPr>
          <w:rFonts w:hint="default" w:ascii="Times New Roman" w:hAnsi="Times New Roman" w:eastAsia="仿宋_GB2312" w:cs="Times New Roman"/>
          <w:b w:val="0"/>
          <w:bCs/>
          <w:sz w:val="30"/>
          <w:szCs w:val="30"/>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eastAsia="仿宋_GB2312" w:cs="Times New Roman"/>
          <w:b w:val="0"/>
          <w:bCs/>
          <w:sz w:val="30"/>
          <w:szCs w:val="30"/>
        </w:rPr>
      </w:pPr>
      <w:r>
        <w:rPr>
          <w:rFonts w:hint="eastAsia" w:ascii="Times New Roman" w:hAnsi="Times New Roman" w:eastAsia="仿宋_GB2312" w:cs="Times New Roman"/>
          <w:b w:val="0"/>
          <w:bCs/>
          <w:sz w:val="30"/>
          <w:szCs w:val="30"/>
          <w:lang w:val="en-US" w:eastAsia="zh-CN"/>
        </w:rPr>
        <w:t xml:space="preserve">  </w:t>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HYPERLINK \l "_Toc36757018"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（四）申报资料审查要点</w:t>
      </w:r>
      <w:r>
        <w:rPr>
          <w:rFonts w:hint="default" w:ascii="Times New Roman" w:hAnsi="Times New Roman" w:eastAsia="仿宋_GB2312" w:cs="Times New Roman"/>
          <w:b w:val="0"/>
          <w:bCs/>
          <w:sz w:val="30"/>
          <w:szCs w:val="30"/>
        </w:rPr>
        <w:tab/>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PAGEREF _Toc36757018 \h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5</w:t>
      </w:r>
      <w:r>
        <w:rPr>
          <w:rFonts w:hint="default" w:ascii="Times New Roman" w:hAnsi="Times New Roman" w:eastAsia="仿宋_GB2312" w:cs="Times New Roman"/>
          <w:b w:val="0"/>
          <w:bCs/>
          <w:sz w:val="30"/>
          <w:szCs w:val="30"/>
        </w:rPr>
        <w:fldChar w:fldCharType="end"/>
      </w:r>
      <w:r>
        <w:rPr>
          <w:rFonts w:hint="default" w:ascii="Times New Roman" w:hAnsi="Times New Roman" w:eastAsia="仿宋_GB2312" w:cs="Times New Roman"/>
          <w:b w:val="0"/>
          <w:bCs/>
          <w:sz w:val="30"/>
          <w:szCs w:val="30"/>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eastAsia="仿宋_GB2312" w:cs="Times New Roman"/>
          <w:b w:val="0"/>
          <w:bCs/>
          <w:sz w:val="30"/>
          <w:szCs w:val="30"/>
        </w:rPr>
      </w:pPr>
      <w:r>
        <w:rPr>
          <w:rFonts w:hint="eastAsia" w:ascii="Times New Roman" w:hAnsi="Times New Roman" w:eastAsia="仿宋_GB2312" w:cs="Times New Roman"/>
          <w:b w:val="0"/>
          <w:bCs/>
          <w:sz w:val="30"/>
          <w:szCs w:val="30"/>
          <w:lang w:val="en-US" w:eastAsia="zh-CN"/>
        </w:rPr>
        <w:t xml:space="preserve">  </w:t>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HYPERLINK \l "_Toc36757019"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（五）其他提示</w:t>
      </w:r>
      <w:r>
        <w:rPr>
          <w:rFonts w:hint="default" w:ascii="Times New Roman" w:hAnsi="Times New Roman" w:eastAsia="仿宋_GB2312" w:cs="Times New Roman"/>
          <w:b w:val="0"/>
          <w:bCs/>
          <w:sz w:val="30"/>
          <w:szCs w:val="30"/>
        </w:rPr>
        <w:tab/>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PAGEREF _Toc36757019 \h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9</w:t>
      </w:r>
      <w:r>
        <w:rPr>
          <w:rFonts w:hint="default" w:ascii="Times New Roman" w:hAnsi="Times New Roman" w:eastAsia="仿宋_GB2312" w:cs="Times New Roman"/>
          <w:b w:val="0"/>
          <w:bCs/>
          <w:sz w:val="30"/>
          <w:szCs w:val="30"/>
        </w:rPr>
        <w:fldChar w:fldCharType="end"/>
      </w:r>
      <w:r>
        <w:rPr>
          <w:rFonts w:hint="default" w:ascii="Times New Roman" w:hAnsi="Times New Roman" w:eastAsia="仿宋_GB2312" w:cs="Times New Roman"/>
          <w:b w:val="0"/>
          <w:bCs/>
          <w:sz w:val="30"/>
          <w:szCs w:val="30"/>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cs="Times New Roman" w:eastAsiaTheme="minorEastAsia"/>
          <w:b w:val="0"/>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"_Toc36757020" </w:instrText>
      </w:r>
      <w:r>
        <w:rPr>
          <w:rFonts w:hint="default" w:ascii="Times New Roman" w:hAnsi="Times New Roman" w:cs="Times New Roman"/>
        </w:rPr>
        <w:fldChar w:fldCharType="separate"/>
      </w:r>
      <w:r>
        <w:rPr>
          <w:rStyle w:val="22"/>
          <w:rFonts w:hint="default" w:ascii="Times New Roman" w:hAnsi="Times New Roman" w:cs="Times New Roman"/>
          <w:b w:val="0"/>
        </w:rPr>
        <w:t>五、受理审查决定</w:t>
      </w:r>
      <w:r>
        <w:rPr>
          <w:rFonts w:hint="default" w:ascii="Times New Roman" w:hAnsi="Times New Roman" w:cs="Times New Roman"/>
          <w:b w:val="0"/>
        </w:rPr>
        <w:tab/>
      </w:r>
      <w:r>
        <w:rPr>
          <w:rFonts w:hint="default" w:ascii="Times New Roman" w:hAnsi="Times New Roman" w:cs="Times New Roman"/>
          <w:b w:val="0"/>
        </w:rPr>
        <w:fldChar w:fldCharType="begin"/>
      </w:r>
      <w:r>
        <w:rPr>
          <w:rFonts w:hint="default" w:ascii="Times New Roman" w:hAnsi="Times New Roman" w:cs="Times New Roman"/>
          <w:b w:val="0"/>
        </w:rPr>
        <w:instrText xml:space="preserve"> PAGEREF _Toc36757020 \h </w:instrText>
      </w:r>
      <w:r>
        <w:rPr>
          <w:rFonts w:hint="default" w:ascii="Times New Roman" w:hAnsi="Times New Roman" w:cs="Times New Roman"/>
          <w:b w:val="0"/>
        </w:rPr>
        <w:fldChar w:fldCharType="separate"/>
      </w:r>
      <w:r>
        <w:rPr>
          <w:rFonts w:hint="default" w:ascii="Times New Roman" w:hAnsi="Times New Roman" w:cs="Times New Roman"/>
          <w:b w:val="0"/>
        </w:rPr>
        <w:t>10</w:t>
      </w:r>
      <w:r>
        <w:rPr>
          <w:rFonts w:hint="default" w:ascii="Times New Roman" w:hAnsi="Times New Roman" w:cs="Times New Roman"/>
          <w:b w:val="0"/>
        </w:rPr>
        <w:fldChar w:fldCharType="end"/>
      </w:r>
      <w:r>
        <w:rPr>
          <w:rFonts w:hint="default" w:ascii="Times New Roman" w:hAnsi="Times New Roman" w:cs="Times New Roman"/>
          <w:b w:val="0"/>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eastAsia="仿宋_GB2312" w:cs="Times New Roman"/>
          <w:b w:val="0"/>
          <w:bCs/>
          <w:sz w:val="30"/>
          <w:szCs w:val="30"/>
        </w:rPr>
      </w:pPr>
      <w:r>
        <w:rPr>
          <w:rFonts w:hint="eastAsia" w:ascii="Times New Roman" w:hAnsi="Times New Roman" w:eastAsia="仿宋_GB2312" w:cs="Times New Roman"/>
          <w:b w:val="0"/>
          <w:bCs/>
          <w:sz w:val="30"/>
          <w:szCs w:val="30"/>
          <w:lang w:val="en-US" w:eastAsia="zh-CN"/>
        </w:rPr>
        <w:t xml:space="preserve">  </w:t>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HYPERLINK \l "_Toc36757021"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（一）受理</w:t>
      </w:r>
      <w:r>
        <w:rPr>
          <w:rFonts w:hint="default" w:ascii="Times New Roman" w:hAnsi="Times New Roman" w:eastAsia="仿宋_GB2312" w:cs="Times New Roman"/>
          <w:b w:val="0"/>
          <w:bCs/>
          <w:sz w:val="30"/>
          <w:szCs w:val="30"/>
        </w:rPr>
        <w:tab/>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PAGEREF _Toc36757021 \h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10</w:t>
      </w:r>
      <w:r>
        <w:rPr>
          <w:rFonts w:hint="default" w:ascii="Times New Roman" w:hAnsi="Times New Roman" w:eastAsia="仿宋_GB2312" w:cs="Times New Roman"/>
          <w:b w:val="0"/>
          <w:bCs/>
          <w:sz w:val="30"/>
          <w:szCs w:val="30"/>
        </w:rPr>
        <w:fldChar w:fldCharType="end"/>
      </w:r>
      <w:r>
        <w:rPr>
          <w:rFonts w:hint="default" w:ascii="Times New Roman" w:hAnsi="Times New Roman" w:eastAsia="仿宋_GB2312" w:cs="Times New Roman"/>
          <w:b w:val="0"/>
          <w:bCs/>
          <w:sz w:val="30"/>
          <w:szCs w:val="30"/>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eastAsia="仿宋_GB2312" w:cs="Times New Roman"/>
          <w:b w:val="0"/>
          <w:bCs/>
          <w:sz w:val="30"/>
          <w:szCs w:val="30"/>
        </w:rPr>
      </w:pPr>
      <w:r>
        <w:rPr>
          <w:rFonts w:hint="eastAsia" w:ascii="Times New Roman" w:hAnsi="Times New Roman" w:eastAsia="仿宋_GB2312" w:cs="Times New Roman"/>
          <w:b w:val="0"/>
          <w:bCs/>
          <w:sz w:val="30"/>
          <w:szCs w:val="30"/>
          <w:lang w:val="en-US" w:eastAsia="zh-CN"/>
        </w:rPr>
        <w:t xml:space="preserve">  </w:t>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HYPERLINK \l "_Toc36757022"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（二）补正</w:t>
      </w:r>
      <w:r>
        <w:rPr>
          <w:rFonts w:hint="default" w:ascii="Times New Roman" w:hAnsi="Times New Roman" w:eastAsia="仿宋_GB2312" w:cs="Times New Roman"/>
          <w:b w:val="0"/>
          <w:bCs/>
          <w:sz w:val="30"/>
          <w:szCs w:val="30"/>
        </w:rPr>
        <w:tab/>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PAGEREF _Toc36757022 \h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11</w:t>
      </w:r>
      <w:r>
        <w:rPr>
          <w:rFonts w:hint="default" w:ascii="Times New Roman" w:hAnsi="Times New Roman" w:eastAsia="仿宋_GB2312" w:cs="Times New Roman"/>
          <w:b w:val="0"/>
          <w:bCs/>
          <w:sz w:val="30"/>
          <w:szCs w:val="30"/>
        </w:rPr>
        <w:fldChar w:fldCharType="end"/>
      </w:r>
      <w:r>
        <w:rPr>
          <w:rFonts w:hint="default" w:ascii="Times New Roman" w:hAnsi="Times New Roman" w:eastAsia="仿宋_GB2312" w:cs="Times New Roman"/>
          <w:b w:val="0"/>
          <w:bCs/>
          <w:sz w:val="30"/>
          <w:szCs w:val="30"/>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eastAsia="仿宋_GB2312" w:cs="Times New Roman"/>
          <w:b w:val="0"/>
          <w:bCs/>
          <w:sz w:val="30"/>
          <w:szCs w:val="30"/>
        </w:rPr>
      </w:pPr>
      <w:r>
        <w:rPr>
          <w:rFonts w:hint="eastAsia" w:ascii="Times New Roman" w:hAnsi="Times New Roman" w:eastAsia="仿宋_GB2312" w:cs="Times New Roman"/>
          <w:b w:val="0"/>
          <w:bCs/>
          <w:sz w:val="30"/>
          <w:szCs w:val="30"/>
          <w:lang w:val="en-US" w:eastAsia="zh-CN"/>
        </w:rPr>
        <w:t xml:space="preserve">  </w:t>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HYPERLINK \l "_Toc36757023"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（三）不予受理</w:t>
      </w:r>
      <w:r>
        <w:rPr>
          <w:rFonts w:hint="default" w:ascii="Times New Roman" w:hAnsi="Times New Roman" w:eastAsia="仿宋_GB2312" w:cs="Times New Roman"/>
          <w:b w:val="0"/>
          <w:bCs/>
          <w:sz w:val="30"/>
          <w:szCs w:val="30"/>
        </w:rPr>
        <w:tab/>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PAGEREF _Toc36757023 \h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11</w:t>
      </w:r>
      <w:r>
        <w:rPr>
          <w:rFonts w:hint="default" w:ascii="Times New Roman" w:hAnsi="Times New Roman" w:eastAsia="仿宋_GB2312" w:cs="Times New Roman"/>
          <w:b w:val="0"/>
          <w:bCs/>
          <w:sz w:val="30"/>
          <w:szCs w:val="30"/>
        </w:rPr>
        <w:fldChar w:fldCharType="end"/>
      </w:r>
      <w:r>
        <w:rPr>
          <w:rFonts w:hint="default" w:ascii="Times New Roman" w:hAnsi="Times New Roman" w:eastAsia="仿宋_GB2312" w:cs="Times New Roman"/>
          <w:b w:val="0"/>
          <w:bCs/>
          <w:sz w:val="30"/>
          <w:szCs w:val="30"/>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eastAsia="仿宋_GB2312" w:cs="Times New Roman"/>
          <w:b w:val="0"/>
          <w:bCs/>
          <w:sz w:val="30"/>
          <w:szCs w:val="30"/>
        </w:rPr>
      </w:pPr>
      <w:r>
        <w:rPr>
          <w:rFonts w:hint="eastAsia" w:ascii="Times New Roman" w:hAnsi="Times New Roman" w:eastAsia="仿宋_GB2312" w:cs="Times New Roman"/>
          <w:b w:val="0"/>
          <w:bCs/>
          <w:sz w:val="30"/>
          <w:szCs w:val="30"/>
          <w:lang w:val="en-US" w:eastAsia="zh-CN"/>
        </w:rPr>
        <w:t xml:space="preserve">  </w:t>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HYPERLINK \l "_Toc36757024"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（四）受理流程图</w:t>
      </w:r>
      <w:r>
        <w:rPr>
          <w:rFonts w:hint="default" w:ascii="Times New Roman" w:hAnsi="Times New Roman" w:eastAsia="仿宋_GB2312" w:cs="Times New Roman"/>
          <w:b w:val="0"/>
          <w:bCs/>
          <w:sz w:val="30"/>
          <w:szCs w:val="30"/>
        </w:rPr>
        <w:tab/>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PAGEREF _Toc36757024 \h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11</w:t>
      </w:r>
      <w:r>
        <w:rPr>
          <w:rFonts w:hint="default" w:ascii="Times New Roman" w:hAnsi="Times New Roman" w:eastAsia="仿宋_GB2312" w:cs="Times New Roman"/>
          <w:b w:val="0"/>
          <w:bCs/>
          <w:sz w:val="30"/>
          <w:szCs w:val="30"/>
        </w:rPr>
        <w:fldChar w:fldCharType="end"/>
      </w:r>
      <w:r>
        <w:rPr>
          <w:rFonts w:hint="default" w:ascii="Times New Roman" w:hAnsi="Times New Roman" w:eastAsia="仿宋_GB2312" w:cs="Times New Roman"/>
          <w:b w:val="0"/>
          <w:bCs/>
          <w:sz w:val="30"/>
          <w:szCs w:val="30"/>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cs="Times New Roman"/>
          <w:b w:val="0"/>
          <w:bCs/>
        </w:rPr>
      </w:pPr>
      <w:r>
        <w:rPr>
          <w:rFonts w:hint="default" w:ascii="Times New Roman" w:hAnsi="Times New Roman" w:cs="Times New Roman"/>
          <w:b w:val="0"/>
          <w:bCs/>
        </w:rPr>
        <w:fldChar w:fldCharType="begin"/>
      </w:r>
      <w:r>
        <w:rPr>
          <w:rFonts w:hint="default" w:ascii="Times New Roman" w:hAnsi="Times New Roman" w:cs="Times New Roman"/>
          <w:b w:val="0"/>
          <w:bCs/>
        </w:rPr>
        <w:instrText xml:space="preserve"> HYPERLINK \l "_Toc36757025" </w:instrText>
      </w:r>
      <w:r>
        <w:rPr>
          <w:rFonts w:hint="default" w:ascii="Times New Roman" w:hAnsi="Times New Roman" w:cs="Times New Roman"/>
          <w:b w:val="0"/>
          <w:bCs/>
        </w:rPr>
        <w:fldChar w:fldCharType="separate"/>
      </w:r>
      <w:r>
        <w:rPr>
          <w:rFonts w:hint="default" w:ascii="Times New Roman" w:hAnsi="Times New Roman" w:cs="Times New Roman"/>
          <w:b w:val="0"/>
          <w:bCs/>
        </w:rPr>
        <w:t>六、其他</w:t>
      </w:r>
      <w:r>
        <w:rPr>
          <w:rFonts w:hint="default" w:ascii="Times New Roman" w:hAnsi="Times New Roman" w:cs="Times New Roman"/>
          <w:b w:val="0"/>
          <w:bCs/>
        </w:rPr>
        <w:tab/>
      </w:r>
      <w:r>
        <w:rPr>
          <w:rFonts w:hint="default" w:ascii="Times New Roman" w:hAnsi="Times New Roman" w:cs="Times New Roman"/>
          <w:b w:val="0"/>
          <w:bCs/>
        </w:rPr>
        <w:fldChar w:fldCharType="begin"/>
      </w:r>
      <w:r>
        <w:rPr>
          <w:rFonts w:hint="default" w:ascii="Times New Roman" w:hAnsi="Times New Roman" w:cs="Times New Roman"/>
          <w:b w:val="0"/>
          <w:bCs/>
        </w:rPr>
        <w:instrText xml:space="preserve"> PAGEREF _Toc36757025 \h </w:instrText>
      </w:r>
      <w:r>
        <w:rPr>
          <w:rFonts w:hint="default" w:ascii="Times New Roman" w:hAnsi="Times New Roman" w:cs="Times New Roman"/>
          <w:b w:val="0"/>
          <w:bCs/>
        </w:rPr>
        <w:fldChar w:fldCharType="separate"/>
      </w:r>
      <w:r>
        <w:rPr>
          <w:rFonts w:hint="default" w:ascii="Times New Roman" w:hAnsi="Times New Roman" w:cs="Times New Roman"/>
          <w:b w:val="0"/>
          <w:bCs/>
        </w:rPr>
        <w:t>11</w:t>
      </w:r>
      <w:r>
        <w:rPr>
          <w:rFonts w:hint="default" w:ascii="Times New Roman" w:hAnsi="Times New Roman" w:cs="Times New Roman"/>
          <w:b w:val="0"/>
          <w:bCs/>
        </w:rPr>
        <w:fldChar w:fldCharType="end"/>
      </w:r>
      <w:r>
        <w:rPr>
          <w:rFonts w:hint="default" w:ascii="Times New Roman" w:hAnsi="Times New Roman" w:cs="Times New Roman"/>
          <w:b w:val="0"/>
          <w:bCs/>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cs="Times New Roman"/>
          <w:b w:val="0"/>
          <w:bCs/>
        </w:rPr>
      </w:pPr>
      <w:r>
        <w:rPr>
          <w:rFonts w:hint="default" w:ascii="Times New Roman" w:hAnsi="Times New Roman" w:cs="Times New Roman"/>
          <w:b w:val="0"/>
          <w:bCs/>
        </w:rPr>
        <w:fldChar w:fldCharType="begin"/>
      </w:r>
      <w:r>
        <w:rPr>
          <w:rFonts w:hint="default" w:ascii="Times New Roman" w:hAnsi="Times New Roman" w:cs="Times New Roman"/>
          <w:b w:val="0"/>
          <w:bCs/>
        </w:rPr>
        <w:instrText xml:space="preserve"> HYPERLINK \l "_Toc36757026" </w:instrText>
      </w:r>
      <w:r>
        <w:rPr>
          <w:rFonts w:hint="default" w:ascii="Times New Roman" w:hAnsi="Times New Roman" w:cs="Times New Roman"/>
          <w:b w:val="0"/>
          <w:bCs/>
        </w:rPr>
        <w:fldChar w:fldCharType="separate"/>
      </w:r>
      <w:r>
        <w:rPr>
          <w:rFonts w:hint="default" w:ascii="Times New Roman" w:hAnsi="Times New Roman" w:cs="Times New Roman"/>
          <w:b w:val="0"/>
          <w:bCs/>
        </w:rPr>
        <w:t>七、附件</w:t>
      </w:r>
      <w:r>
        <w:rPr>
          <w:rFonts w:hint="default" w:ascii="Times New Roman" w:hAnsi="Times New Roman" w:cs="Times New Roman"/>
          <w:b w:val="0"/>
          <w:bCs/>
        </w:rPr>
        <w:tab/>
      </w:r>
      <w:r>
        <w:rPr>
          <w:rFonts w:hint="default" w:ascii="Times New Roman" w:hAnsi="Times New Roman" w:cs="Times New Roman"/>
          <w:b w:val="0"/>
          <w:bCs/>
        </w:rPr>
        <w:fldChar w:fldCharType="begin"/>
      </w:r>
      <w:r>
        <w:rPr>
          <w:rFonts w:hint="default" w:ascii="Times New Roman" w:hAnsi="Times New Roman" w:cs="Times New Roman"/>
          <w:b w:val="0"/>
          <w:bCs/>
        </w:rPr>
        <w:instrText xml:space="preserve"> PAGEREF _Toc36757026 \h </w:instrText>
      </w:r>
      <w:r>
        <w:rPr>
          <w:rFonts w:hint="default" w:ascii="Times New Roman" w:hAnsi="Times New Roman" w:cs="Times New Roman"/>
          <w:b w:val="0"/>
          <w:bCs/>
        </w:rPr>
        <w:fldChar w:fldCharType="separate"/>
      </w:r>
      <w:r>
        <w:rPr>
          <w:rFonts w:hint="default" w:ascii="Times New Roman" w:hAnsi="Times New Roman" w:cs="Times New Roman"/>
          <w:b w:val="0"/>
          <w:bCs/>
        </w:rPr>
        <w:t>12</w:t>
      </w:r>
      <w:r>
        <w:rPr>
          <w:rFonts w:hint="default" w:ascii="Times New Roman" w:hAnsi="Times New Roman" w:cs="Times New Roman"/>
          <w:b w:val="0"/>
          <w:bCs/>
        </w:rPr>
        <w:fldChar w:fldCharType="end"/>
      </w:r>
      <w:r>
        <w:rPr>
          <w:rFonts w:hint="default" w:ascii="Times New Roman" w:hAnsi="Times New Roman" w:cs="Times New Roman"/>
          <w:b w:val="0"/>
          <w:bCs/>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Fonts w:hint="default" w:ascii="Times New Roman" w:hAnsi="Times New Roman" w:eastAsia="仿宋_GB2312" w:cs="Times New Roman"/>
          <w:b w:val="0"/>
          <w:bCs/>
          <w:sz w:val="30"/>
          <w:szCs w:val="30"/>
        </w:rPr>
      </w:pPr>
      <w:r>
        <w:rPr>
          <w:rFonts w:hint="eastAsia" w:ascii="Times New Roman" w:hAnsi="Times New Roman" w:eastAsia="仿宋_GB2312" w:cs="Times New Roman"/>
          <w:b w:val="0"/>
          <w:bCs/>
          <w:sz w:val="30"/>
          <w:szCs w:val="30"/>
          <w:lang w:val="en-US" w:eastAsia="zh-CN"/>
        </w:rPr>
        <w:t xml:space="preserve">  </w:t>
      </w:r>
      <w:r>
        <w:rPr>
          <w:rFonts w:hint="default" w:ascii="Times New Roman" w:hAnsi="Times New Roman" w:eastAsia="仿宋_GB2312" w:cs="Times New Roman"/>
          <w:b w:val="0"/>
          <w:bCs/>
          <w:sz w:val="30"/>
          <w:szCs w:val="30"/>
        </w:rPr>
        <w:t>1</w:t>
      </w:r>
      <w:r>
        <w:rPr>
          <w:rFonts w:hint="eastAsia" w:ascii="Times New Roman" w:hAnsi="Times New Roman" w:eastAsia="仿宋_GB2312" w:cs="Times New Roman"/>
          <w:b w:val="0"/>
          <w:bCs/>
          <w:sz w:val="30"/>
          <w:szCs w:val="30"/>
          <w:lang w:val="en-US" w:eastAsia="zh-CN"/>
        </w:rPr>
        <w:t>.</w:t>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HYPERLINK \l "_Toc36757027"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化学药品3、4、5.2类注册申报资料自查表</w:t>
      </w:r>
      <w:r>
        <w:rPr>
          <w:rFonts w:hint="default" w:ascii="Times New Roman" w:hAnsi="Times New Roman" w:eastAsia="仿宋_GB2312" w:cs="Times New Roman"/>
          <w:b w:val="0"/>
          <w:bCs/>
          <w:sz w:val="30"/>
          <w:szCs w:val="30"/>
        </w:rPr>
        <w:tab/>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PAGEREF _Toc36757027 \h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13</w:t>
      </w:r>
      <w:r>
        <w:rPr>
          <w:rFonts w:hint="default" w:ascii="Times New Roman" w:hAnsi="Times New Roman" w:eastAsia="仿宋_GB2312" w:cs="Times New Roman"/>
          <w:b w:val="0"/>
          <w:bCs/>
          <w:sz w:val="30"/>
          <w:szCs w:val="30"/>
        </w:rPr>
        <w:fldChar w:fldCharType="end"/>
      </w:r>
      <w:r>
        <w:rPr>
          <w:rFonts w:hint="default" w:ascii="Times New Roman" w:hAnsi="Times New Roman" w:eastAsia="仿宋_GB2312" w:cs="Times New Roman"/>
          <w:b w:val="0"/>
          <w:bCs/>
          <w:sz w:val="30"/>
          <w:szCs w:val="30"/>
        </w:rPr>
        <w:fldChar w:fldCharType="end"/>
      </w:r>
    </w:p>
    <w:p>
      <w:pPr>
        <w:pStyle w:val="9"/>
        <w:keepNext w:val="0"/>
        <w:keepLines w:val="0"/>
        <w:pageBreakBefore w:val="0"/>
        <w:kinsoku/>
        <w:wordWrap/>
        <w:overflowPunct w:val="0"/>
        <w:topLinePunct w:val="0"/>
        <w:autoSpaceDE/>
        <w:autoSpaceDN/>
        <w:bidi w:val="0"/>
        <w:spacing w:line="560" w:lineRule="exact"/>
        <w:ind w:firstLine="0" w:firstLineChars="0"/>
        <w:textAlignment w:val="auto"/>
        <w:rPr>
          <w:rStyle w:val="22"/>
          <w:rFonts w:hint="default" w:ascii="Times New Roman" w:hAnsi="Times New Roman" w:eastAsia="仿宋_GB2312" w:cs="Times New Roman"/>
          <w:b w:val="0"/>
          <w:bCs/>
          <w:sz w:val="30"/>
          <w:szCs w:val="30"/>
        </w:rPr>
      </w:pPr>
      <w:r>
        <w:rPr>
          <w:rFonts w:hint="eastAsia" w:ascii="Times New Roman" w:hAnsi="Times New Roman" w:eastAsia="仿宋_GB2312" w:cs="Times New Roman"/>
          <w:b w:val="0"/>
          <w:bCs/>
          <w:sz w:val="30"/>
          <w:szCs w:val="30"/>
          <w:lang w:val="en-US" w:eastAsia="zh-CN"/>
        </w:rPr>
        <w:t xml:space="preserve">  </w:t>
      </w:r>
      <w:r>
        <w:rPr>
          <w:rFonts w:hint="default" w:ascii="Times New Roman" w:hAnsi="Times New Roman" w:eastAsia="仿宋_GB2312" w:cs="Times New Roman"/>
          <w:b w:val="0"/>
          <w:bCs/>
          <w:sz w:val="30"/>
          <w:szCs w:val="30"/>
        </w:rPr>
        <w:t>2</w:t>
      </w:r>
      <w:r>
        <w:rPr>
          <w:rFonts w:hint="eastAsia" w:ascii="Times New Roman" w:hAnsi="Times New Roman" w:eastAsia="仿宋_GB2312" w:cs="Times New Roman"/>
          <w:b w:val="0"/>
          <w:bCs/>
          <w:sz w:val="30"/>
          <w:szCs w:val="30"/>
          <w:lang w:val="en-US" w:eastAsia="zh-CN"/>
        </w:rPr>
        <w:t>.</w:t>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HYPERLINK \l "_Toc36757028"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参考目录</w:t>
      </w:r>
      <w:r>
        <w:rPr>
          <w:rFonts w:hint="default" w:ascii="Times New Roman" w:hAnsi="Times New Roman" w:eastAsia="仿宋_GB2312" w:cs="Times New Roman"/>
          <w:b w:val="0"/>
          <w:bCs/>
          <w:sz w:val="30"/>
          <w:szCs w:val="30"/>
        </w:rPr>
        <w:tab/>
      </w:r>
      <w:r>
        <w:rPr>
          <w:rFonts w:hint="default" w:ascii="Times New Roman" w:hAnsi="Times New Roman" w:eastAsia="仿宋_GB2312" w:cs="Times New Roman"/>
          <w:b w:val="0"/>
          <w:bCs/>
          <w:sz w:val="30"/>
          <w:szCs w:val="30"/>
        </w:rPr>
        <w:fldChar w:fldCharType="begin"/>
      </w:r>
      <w:r>
        <w:rPr>
          <w:rFonts w:hint="default" w:ascii="Times New Roman" w:hAnsi="Times New Roman" w:eastAsia="仿宋_GB2312" w:cs="Times New Roman"/>
          <w:b w:val="0"/>
          <w:bCs/>
          <w:sz w:val="30"/>
          <w:szCs w:val="30"/>
        </w:rPr>
        <w:instrText xml:space="preserve"> PAGEREF _Toc36757028 \h </w:instrText>
      </w:r>
      <w:r>
        <w:rPr>
          <w:rFonts w:hint="default" w:ascii="Times New Roman" w:hAnsi="Times New Roman" w:eastAsia="仿宋_GB2312" w:cs="Times New Roman"/>
          <w:b w:val="0"/>
          <w:bCs/>
          <w:sz w:val="30"/>
          <w:szCs w:val="30"/>
        </w:rPr>
        <w:fldChar w:fldCharType="separate"/>
      </w:r>
      <w:r>
        <w:rPr>
          <w:rFonts w:hint="default" w:ascii="Times New Roman" w:hAnsi="Times New Roman" w:eastAsia="仿宋_GB2312" w:cs="Times New Roman"/>
          <w:b w:val="0"/>
          <w:bCs/>
          <w:sz w:val="30"/>
          <w:szCs w:val="30"/>
        </w:rPr>
        <w:t>16</w:t>
      </w:r>
      <w:r>
        <w:rPr>
          <w:rFonts w:hint="default" w:ascii="Times New Roman" w:hAnsi="Times New Roman" w:eastAsia="仿宋_GB2312" w:cs="Times New Roman"/>
          <w:b w:val="0"/>
          <w:bCs/>
          <w:sz w:val="30"/>
          <w:szCs w:val="30"/>
        </w:rPr>
        <w:fldChar w:fldCharType="end"/>
      </w:r>
      <w:r>
        <w:rPr>
          <w:rFonts w:hint="default" w:ascii="Times New Roman" w:hAnsi="Times New Roman" w:eastAsia="仿宋_GB2312" w:cs="Times New Roman"/>
          <w:b w:val="0"/>
          <w:bCs/>
          <w:sz w:val="30"/>
          <w:szCs w:val="30"/>
        </w:rPr>
        <w:fldChar w:fldCharType="end"/>
      </w:r>
    </w:p>
    <w:p>
      <w:pPr>
        <w:pStyle w:val="16"/>
        <w:keepNext w:val="0"/>
        <w:keepLines w:val="0"/>
        <w:pageBreakBefore w:val="0"/>
        <w:kinsoku/>
        <w:wordWrap/>
        <w:overflowPunct w:val="0"/>
        <w:topLinePunct w:val="0"/>
        <w:autoSpaceDE/>
        <w:autoSpaceDN/>
        <w:bidi w:val="0"/>
        <w:adjustRightInd/>
        <w:snapToGrid/>
        <w:spacing w:line="560" w:lineRule="exact"/>
        <w:ind w:left="0" w:leftChars="0" w:firstLine="979" w:firstLineChars="306"/>
        <w:textAlignment w:val="auto"/>
        <w:rPr>
          <w:rFonts w:hint="default" w:ascii="Times New Roman" w:hAnsi="Times New Roman" w:cs="Times New Roman"/>
          <w:b/>
        </w:rPr>
        <w:sectPr>
          <w:footerReference r:id="rId9" w:type="default"/>
          <w:footerReference r:id="rId10" w:type="even"/>
          <w:pgSz w:w="11906" w:h="16838"/>
          <w:pgMar w:top="1928" w:right="1531" w:bottom="1814" w:left="1531" w:header="851" w:footer="992" w:gutter="0"/>
          <w:cols w:space="0" w:num="1"/>
          <w:rtlGutter w:val="0"/>
          <w:docGrid w:type="lines" w:linePitch="436" w:charSpace="0"/>
        </w:sectPr>
      </w:pPr>
      <w:r>
        <w:rPr>
          <w:rFonts w:hint="default" w:ascii="Times New Roman" w:hAnsi="Times New Roman" w:cs="Times New Roman"/>
        </w:rPr>
        <w:fldChar w:fldCharType="end"/>
      </w:r>
    </w:p>
    <w:p>
      <w:pPr>
        <w:keepNext w:val="0"/>
        <w:keepLines w:val="0"/>
        <w:pageBreakBefore w:val="0"/>
        <w:widowControl w:val="0"/>
        <w:kinsoku/>
        <w:wordWrap/>
        <w:overflowPunct w:val="0"/>
        <w:topLinePunct w:val="0"/>
        <w:autoSpaceDE/>
        <w:autoSpaceDN/>
        <w:bidi w:val="0"/>
        <w:adjustRightInd/>
        <w:snapToGrid w:val="0"/>
        <w:spacing w:line="560" w:lineRule="exact"/>
        <w:ind w:firstLine="0" w:firstLineChars="0"/>
        <w:jc w:val="center"/>
        <w:textAlignment w:val="auto"/>
        <w:outlineLvl w:val="9"/>
        <w:rPr>
          <w:rFonts w:ascii="方正小标宋简体" w:hAnsi="黑体" w:eastAsia="方正小标宋简体"/>
          <w:sz w:val="44"/>
          <w:szCs w:val="44"/>
        </w:rPr>
      </w:pPr>
    </w:p>
    <w:p>
      <w:pPr>
        <w:keepNext w:val="0"/>
        <w:keepLines w:val="0"/>
        <w:pageBreakBefore w:val="0"/>
        <w:widowControl w:val="0"/>
        <w:kinsoku/>
        <w:wordWrap/>
        <w:overflowPunct w:val="0"/>
        <w:topLinePunct w:val="0"/>
        <w:autoSpaceDE/>
        <w:autoSpaceDN/>
        <w:bidi w:val="0"/>
        <w:adjustRightInd/>
        <w:snapToGrid w:val="0"/>
        <w:spacing w:line="560" w:lineRule="exact"/>
        <w:ind w:firstLine="0" w:firstLineChars="0"/>
        <w:jc w:val="center"/>
        <w:textAlignment w:val="auto"/>
        <w:outlineLvl w:val="9"/>
        <w:rPr>
          <w:rFonts w:ascii="方正小标宋简体" w:hAnsi="黑体" w:eastAsia="方正小标宋简体"/>
          <w:sz w:val="44"/>
          <w:szCs w:val="44"/>
        </w:rPr>
      </w:pPr>
      <w:r>
        <w:rPr>
          <w:rFonts w:hint="eastAsia" w:ascii="方正小标宋简体" w:hAnsi="黑体" w:eastAsia="方正小标宋简体"/>
          <w:sz w:val="44"/>
          <w:szCs w:val="44"/>
        </w:rPr>
        <w:t>化学药品注册受理审查指南（征求意见稿）</w:t>
      </w:r>
    </w:p>
    <w:p>
      <w:pPr>
        <w:keepNext w:val="0"/>
        <w:keepLines w:val="0"/>
        <w:pageBreakBefore w:val="0"/>
        <w:widowControl w:val="0"/>
        <w:kinsoku/>
        <w:wordWrap/>
        <w:overflowPunct w:val="0"/>
        <w:topLinePunct w:val="0"/>
        <w:autoSpaceDE/>
        <w:autoSpaceDN/>
        <w:bidi w:val="0"/>
        <w:adjustRightInd/>
        <w:snapToGrid w:val="0"/>
        <w:spacing w:line="560" w:lineRule="exact"/>
        <w:ind w:firstLine="0" w:firstLineChars="0"/>
        <w:jc w:val="center"/>
        <w:textAlignment w:val="auto"/>
        <w:outlineLvl w:val="9"/>
        <w:rPr>
          <w:rFonts w:ascii="方正小标宋简体" w:hAnsi="黑体" w:eastAsia="方正小标宋简体" w:cs="仿宋_GB2312"/>
          <w:color w:val="000000"/>
          <w:sz w:val="44"/>
          <w:szCs w:val="44"/>
        </w:rPr>
      </w:pPr>
      <w:r>
        <w:rPr>
          <w:rFonts w:hint="eastAsia" w:ascii="方正小标宋简体" w:hAnsi="黑体" w:eastAsia="方正小标宋简体" w:cs="仿宋_GB2312"/>
          <w:color w:val="000000"/>
          <w:sz w:val="44"/>
          <w:szCs w:val="44"/>
        </w:rPr>
        <w:t>第二部分 注册分类</w:t>
      </w:r>
      <w:r>
        <w:rPr>
          <w:rFonts w:ascii="方正小标宋简体" w:hAnsi="黑体" w:eastAsia="方正小标宋简体" w:cs="仿宋_GB2312"/>
          <w:color w:val="000000"/>
          <w:sz w:val="44"/>
          <w:szCs w:val="44"/>
        </w:rPr>
        <w:t>3</w:t>
      </w:r>
      <w:r>
        <w:rPr>
          <w:rFonts w:hint="eastAsia" w:ascii="方正小标宋简体" w:hAnsi="黑体" w:eastAsia="方正小标宋简体" w:cs="仿宋_GB2312"/>
          <w:color w:val="000000"/>
          <w:sz w:val="44"/>
          <w:szCs w:val="44"/>
        </w:rPr>
        <w:t>、</w:t>
      </w:r>
      <w:r>
        <w:rPr>
          <w:rFonts w:ascii="方正小标宋简体" w:hAnsi="黑体" w:eastAsia="方正小标宋简体" w:cs="仿宋_GB2312"/>
          <w:color w:val="000000"/>
          <w:sz w:val="44"/>
          <w:szCs w:val="44"/>
        </w:rPr>
        <w:t>4</w:t>
      </w:r>
      <w:r>
        <w:rPr>
          <w:rFonts w:hint="eastAsia" w:ascii="方正小标宋简体" w:hAnsi="黑体" w:eastAsia="方正小标宋简体" w:cs="仿宋_GB2312"/>
          <w:color w:val="000000"/>
          <w:sz w:val="44"/>
          <w:szCs w:val="44"/>
        </w:rPr>
        <w:t>、</w:t>
      </w:r>
      <w:r>
        <w:rPr>
          <w:rFonts w:ascii="方正小标宋简体" w:hAnsi="黑体" w:eastAsia="方正小标宋简体" w:cs="仿宋_GB2312"/>
          <w:color w:val="000000"/>
          <w:sz w:val="44"/>
          <w:szCs w:val="44"/>
        </w:rPr>
        <w:t>5.2</w:t>
      </w:r>
      <w:r>
        <w:rPr>
          <w:rFonts w:hint="eastAsia" w:ascii="方正小标宋简体" w:hAnsi="黑体" w:eastAsia="方正小标宋简体" w:cs="仿宋_GB2312"/>
          <w:color w:val="000000"/>
          <w:sz w:val="44"/>
          <w:szCs w:val="44"/>
        </w:rPr>
        <w:t>类</w:t>
      </w:r>
    </w:p>
    <w:p>
      <w:pPr>
        <w:keepNext w:val="0"/>
        <w:keepLines w:val="0"/>
        <w:pageBreakBefore w:val="0"/>
        <w:widowControl w:val="0"/>
        <w:kinsoku/>
        <w:wordWrap/>
        <w:overflowPunct w:val="0"/>
        <w:topLinePunct w:val="0"/>
        <w:autoSpaceDE/>
        <w:autoSpaceDN/>
        <w:bidi w:val="0"/>
        <w:adjustRightInd/>
        <w:snapToGrid w:val="0"/>
        <w:spacing w:line="560" w:lineRule="exact"/>
        <w:ind w:firstLine="0" w:firstLineChars="0"/>
        <w:jc w:val="center"/>
        <w:textAlignment w:val="auto"/>
        <w:outlineLvl w:val="9"/>
        <w:rPr>
          <w:rFonts w:ascii="方正小标宋简体" w:hAnsi="黑体" w:eastAsia="方正小标宋简体" w:cs="仿宋_GB2312"/>
          <w:color w:val="000000"/>
          <w:sz w:val="44"/>
          <w:szCs w:val="44"/>
        </w:rPr>
      </w:pPr>
    </w:p>
    <w:p>
      <w:pPr>
        <w:pStyle w:val="4"/>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黑体"/>
        </w:rPr>
      </w:pPr>
      <w:bookmarkStart w:id="0" w:name="_Toc36757009"/>
      <w:r>
        <w:rPr>
          <w:rFonts w:hint="eastAsia" w:ascii="黑体" w:hAnsi="黑体"/>
        </w:rPr>
        <w:t>一、适用范围</w:t>
      </w:r>
      <w:bookmarkEnd w:id="0"/>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化学药品注册分类</w:t>
      </w:r>
      <w:r>
        <w:t>3</w:t>
      </w:r>
      <w:r>
        <w:rPr>
          <w:rFonts w:hint="eastAsia"/>
        </w:rPr>
        <w:t>、</w:t>
      </w:r>
      <w:r>
        <w:t>4</w:t>
      </w:r>
      <w:r>
        <w:rPr>
          <w:rFonts w:hint="eastAsia"/>
        </w:rPr>
        <w:t>、</w:t>
      </w:r>
      <w:r>
        <w:t>5.2</w:t>
      </w:r>
      <w:r>
        <w:rPr>
          <w:rFonts w:hint="eastAsia"/>
        </w:rPr>
        <w:t>类药物临床试验申请</w:t>
      </w:r>
      <w:r>
        <w:t>/</w:t>
      </w:r>
      <w:r>
        <w:rPr>
          <w:rFonts w:hint="eastAsia"/>
        </w:rPr>
        <w:t>药品上市许可申请。</w:t>
      </w:r>
    </w:p>
    <w:p>
      <w:pPr>
        <w:pStyle w:val="4"/>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黑体"/>
        </w:rPr>
      </w:pPr>
      <w:bookmarkStart w:id="1" w:name="_Toc36757010"/>
      <w:r>
        <w:rPr>
          <w:rFonts w:hint="eastAsia" w:ascii="黑体" w:hAnsi="黑体"/>
        </w:rPr>
        <w:t>二、受理部门</w:t>
      </w:r>
      <w:bookmarkEnd w:id="1"/>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由国家药品监督管理局药品审评中心受理。</w:t>
      </w:r>
    </w:p>
    <w:p>
      <w:pPr>
        <w:pStyle w:val="4"/>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黑体"/>
        </w:rPr>
      </w:pPr>
      <w:bookmarkStart w:id="2" w:name="_Toc36757011"/>
      <w:r>
        <w:rPr>
          <w:rFonts w:hint="eastAsia" w:ascii="黑体" w:hAnsi="黑体"/>
        </w:rPr>
        <w:t>三、资料基本要求</w:t>
      </w:r>
      <w:bookmarkEnd w:id="2"/>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按照</w:t>
      </w:r>
      <w:r>
        <w:t>《</w:t>
      </w:r>
      <w:r>
        <w:rPr>
          <w:rFonts w:hint="eastAsia"/>
        </w:rPr>
        <w:t>药品</w:t>
      </w:r>
      <w:r>
        <w:t>注册管理办法》</w:t>
      </w:r>
      <w:r>
        <w:rPr>
          <w:rFonts w:hint="eastAsia"/>
        </w:rPr>
        <w:t>及《</w:t>
      </w:r>
      <w:r>
        <w:t>化学药品注册分类</w:t>
      </w:r>
      <w:r>
        <w:rPr>
          <w:rFonts w:hint="eastAsia"/>
        </w:rPr>
        <w:t>及</w:t>
      </w:r>
      <w:r>
        <w:t>申报资料要求》</w:t>
      </w:r>
      <w:r>
        <w:rPr>
          <w:rFonts w:hint="eastAsia"/>
        </w:rPr>
        <w:t>的</w:t>
      </w:r>
      <w:r>
        <w:t>规定</w:t>
      </w:r>
      <w:r>
        <w:rPr>
          <w:rFonts w:hint="eastAsia"/>
        </w:rPr>
        <w:t>，提供</w:t>
      </w:r>
      <w:r>
        <w:t>符合要求的申报资料。</w:t>
      </w:r>
      <w:r>
        <w:rPr>
          <w:rFonts w:hint="eastAsia"/>
        </w:rPr>
        <w:t>申报资料应</w:t>
      </w:r>
      <w:r>
        <w:t>根据现行版</w:t>
      </w:r>
      <w:r>
        <w:rPr>
          <w:rFonts w:hint="eastAsia"/>
        </w:rPr>
        <w:t>《</w:t>
      </w:r>
      <w:r>
        <w:t>M4</w:t>
      </w:r>
      <w:r>
        <w:rPr>
          <w:rFonts w:hint="eastAsia"/>
        </w:rPr>
        <w:t>：人用药物注册申请通用技术文档（</w:t>
      </w:r>
      <w:r>
        <w:t>CTD</w:t>
      </w:r>
      <w:r>
        <w:rPr>
          <w:rFonts w:hint="eastAsia"/>
        </w:rPr>
        <w:t>）》（以下简称</w:t>
      </w:r>
      <w:r>
        <w:t>CTD</w:t>
      </w:r>
      <w:r>
        <w:rPr>
          <w:rFonts w:hint="eastAsia"/>
        </w:rPr>
        <w:t>）格式</w:t>
      </w:r>
      <w:r>
        <w:t>整理，</w:t>
      </w:r>
      <w:r>
        <w:rPr>
          <w:rFonts w:hint="eastAsia"/>
        </w:rPr>
        <w:t>目录及项目编号不能改变，对应项目无相关信息或研究资料，项目编号和名称也应保留，可在项下注明</w:t>
      </w:r>
      <w:r>
        <w:t>“</w:t>
      </w:r>
      <w:r>
        <w:rPr>
          <w:rFonts w:hint="eastAsia"/>
        </w:rPr>
        <w:t>不适用</w:t>
      </w:r>
      <w:r>
        <w:t>”并说明理由</w:t>
      </w:r>
      <w:r>
        <w:rPr>
          <w:rFonts w:hint="eastAsia"/>
        </w:rPr>
        <w:t>。</w:t>
      </w:r>
    </w:p>
    <w:p>
      <w:pPr>
        <w:pStyle w:val="5"/>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楷体_GB2312"/>
        </w:rPr>
      </w:pPr>
      <w:bookmarkStart w:id="3" w:name="_Toc36757012"/>
      <w:r>
        <w:rPr>
          <w:rFonts w:hint="eastAsia" w:ascii="楷体_GB2312"/>
        </w:rPr>
        <w:t>（一）申请表的整理</w:t>
      </w:r>
      <w:bookmarkEnd w:id="3"/>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药品注册申请表、申报资料自查表与申报</w:t>
      </w:r>
      <w:r>
        <w:t>资料份数一致</w:t>
      </w:r>
      <w:r>
        <w:rPr>
          <w:rFonts w:hint="eastAsia"/>
        </w:rPr>
        <w:t>，其中</w:t>
      </w:r>
      <w:r>
        <w:t>至少</w:t>
      </w:r>
      <w:r>
        <w:rPr>
          <w:rFonts w:hint="eastAsia"/>
        </w:rPr>
        <w:t>两份为原件；填写应当准确、完整、规范，不得手写或涂改，并应符合填表说明的要求。</w:t>
      </w:r>
    </w:p>
    <w:p>
      <w:pPr>
        <w:pStyle w:val="5"/>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楷体_GB2312"/>
        </w:rPr>
      </w:pPr>
      <w:bookmarkStart w:id="4" w:name="_Toc36757013"/>
      <w:r>
        <w:rPr>
          <w:rFonts w:hint="eastAsia" w:ascii="楷体_GB2312"/>
        </w:rPr>
        <w:t>（二）申报资料的整理</w:t>
      </w:r>
      <w:bookmarkEnd w:id="4"/>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t>2</w:t>
      </w:r>
      <w:r>
        <w:rPr>
          <w:rFonts w:hint="eastAsia"/>
        </w:rPr>
        <w:t>套完整申请资料（至少</w:t>
      </w:r>
      <w:r>
        <w:t>1</w:t>
      </w:r>
      <w:r>
        <w:rPr>
          <w:rFonts w:hint="eastAsia"/>
        </w:rPr>
        <w:t>套为原件）</w:t>
      </w:r>
      <w:r>
        <w:t>+1</w:t>
      </w:r>
      <w:r>
        <w:rPr>
          <w:rFonts w:hint="eastAsia"/>
        </w:rPr>
        <w:t>套综述资料（应包含模块一、模块二），每套装入相应的申请表（综述</w:t>
      </w:r>
      <w:r>
        <w:t>资料中</w:t>
      </w:r>
      <w:r>
        <w:rPr>
          <w:rFonts w:hint="eastAsia"/>
        </w:rPr>
        <w:t>的申请表应</w:t>
      </w:r>
      <w:r>
        <w:t>为原件）</w:t>
      </w:r>
      <w:r>
        <w:rPr>
          <w:rFonts w:hint="eastAsia"/>
        </w:rPr>
        <w:t>，具体要求详见《申报资料基本要求》。</w:t>
      </w:r>
    </w:p>
    <w:p>
      <w:pPr>
        <w:pStyle w:val="4"/>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黑体"/>
        </w:rPr>
      </w:pPr>
      <w:bookmarkStart w:id="5" w:name="_Toc36757014"/>
      <w:r>
        <w:rPr>
          <w:rFonts w:hint="eastAsia" w:ascii="黑体" w:hAnsi="黑体"/>
        </w:rPr>
        <w:t>四、形式审查要点</w:t>
      </w:r>
      <w:bookmarkEnd w:id="5"/>
    </w:p>
    <w:p>
      <w:pPr>
        <w:pStyle w:val="5"/>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楷体_GB2312"/>
        </w:rPr>
      </w:pPr>
      <w:bookmarkStart w:id="6" w:name="_Toc36757015"/>
      <w:r>
        <w:rPr>
          <w:rFonts w:hint="eastAsia" w:ascii="楷体_GB2312"/>
        </w:rPr>
        <w:t>（一）申报事项审查要点</w:t>
      </w:r>
      <w:bookmarkEnd w:id="6"/>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1．药物临床试验终止后，拟继续开展药物临床试验的，应当重新提出药物临床试验申请。药物临床试验申请自获准之日起，三年内未有受试者签署知情同意书的，该药物临床试验许可自行失效；仍需实施药物临床试验的，应当重新申请。</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spacing w:val="-6"/>
        </w:rPr>
      </w:pPr>
      <w:r>
        <w:t>2</w:t>
      </w:r>
      <w:r>
        <w:rPr>
          <w:rFonts w:hint="eastAsia"/>
          <w:spacing w:val="-6"/>
        </w:rPr>
        <w:t>．仿制药以及其他符合条件的情形，经申请人评估，认为无需或者不能开展药物临床试验，符合豁免药物临床试验条件的，申</w:t>
      </w:r>
      <w:r>
        <w:rPr>
          <w:rFonts w:hint="eastAsia"/>
          <w:spacing w:val="-11"/>
        </w:rPr>
        <w:t>请人可以直接提出药品上市许可申请，</w:t>
      </w:r>
      <w:r>
        <w:rPr>
          <w:spacing w:val="-11"/>
        </w:rPr>
        <w:t>同时应在申请表中予以说明</w:t>
      </w:r>
      <w:r>
        <w:rPr>
          <w:rFonts w:hint="eastAsia"/>
          <w:spacing w:val="-11"/>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t>3</w:t>
      </w:r>
      <w:r>
        <w:rPr>
          <w:rFonts w:hint="eastAsia"/>
        </w:rPr>
        <w:t>．符合《药品注册管理办法》第三十六条情形的，可以直接提出非处方药上市许可申请，</w:t>
      </w:r>
      <w:r>
        <w:t>同时应在申请表中予以说明</w:t>
      </w:r>
      <w:r>
        <w:rPr>
          <w:rFonts w:hint="eastAsia"/>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4．</w:t>
      </w:r>
      <w:r>
        <w:t>仿制药申请，</w:t>
      </w:r>
      <w:r>
        <w:rPr>
          <w:rFonts w:hint="eastAsia"/>
          <w:lang w:eastAsia="zh-CN"/>
        </w:rPr>
        <w:t>原则上</w:t>
      </w:r>
      <w:r>
        <w:rPr>
          <w:rFonts w:hint="eastAsia"/>
        </w:rPr>
        <w:t>应在所选</w:t>
      </w:r>
      <w:r>
        <w:t>参比制剂纳入参比制剂</w:t>
      </w:r>
      <w:r>
        <w:rPr>
          <w:rFonts w:hint="eastAsia"/>
        </w:rPr>
        <w:t>公布</w:t>
      </w:r>
      <w:r>
        <w:t>目录</w:t>
      </w:r>
      <w:r>
        <w:rPr>
          <w:rFonts w:hint="eastAsia"/>
        </w:rPr>
        <w:t>后</w:t>
      </w:r>
      <w:r>
        <w:t>提出。</w:t>
      </w:r>
      <w:r>
        <w:rPr>
          <w:rFonts w:hint="eastAsia"/>
          <w:lang w:eastAsia="zh-CN"/>
        </w:rPr>
        <w:t>相关技术指导原则不推荐参比制剂的品种除外。所选参比制剂未纳入参比制剂目录的，在申报前应与药审中心沟通交流并达成一致意见后，方可提交。</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t>5</w:t>
      </w:r>
      <w:r>
        <w:rPr>
          <w:rFonts w:hint="eastAsia"/>
        </w:rPr>
        <w:t>．药品上市许可申请审评期间，发生可能影响药品安全性、有效性和质量可控性的重大变更的，申请人应当撤回原注册申请，补充研究后重新申报。申请人名称变更、注册地址名称变更等不涉及技术审评内容的，应当及时书面告知药品审评中心并提交相关证明性资料。</w:t>
      </w:r>
    </w:p>
    <w:p>
      <w:pPr>
        <w:pStyle w:val="5"/>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楷体_GB2312"/>
        </w:rPr>
      </w:pPr>
      <w:bookmarkStart w:id="7" w:name="_Toc36757016"/>
      <w:r>
        <w:rPr>
          <w:rFonts w:hint="eastAsia" w:ascii="楷体_GB2312"/>
        </w:rPr>
        <w:t>（二）沟通交流审查要点</w:t>
      </w:r>
      <w:bookmarkEnd w:id="7"/>
      <w:r>
        <w:rPr>
          <w:rFonts w:hint="eastAsia" w:ascii="楷体_GB2312"/>
        </w:rPr>
        <w:t>（如适用）</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1．申请附条件批准的，申请人应当就附条件批准上市的条件和上市后继续完成的研究工作等与药品审评中心沟通交流，经沟通交流确认后提出药品上市许可申请。</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2．</w:t>
      </w:r>
      <w:r>
        <w:t>申请优先审评审批的，</w:t>
      </w:r>
      <w:r>
        <w:rPr>
          <w:rFonts w:hint="eastAsia"/>
        </w:rPr>
        <w:t>申请人在提出药品上市许可申请前，应当与药品审评中心沟通交流，经沟通交流确认后，在提出药品上市许可申请的同时，向药品审评中心提出优先审评审批申请。</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t>3</w:t>
      </w:r>
      <w:r>
        <w:rPr>
          <w:rFonts w:hint="eastAsia"/>
        </w:rPr>
        <w:t>．已</w:t>
      </w:r>
      <w:r>
        <w:t>申请沟通交流的，</w:t>
      </w:r>
      <w:r>
        <w:rPr>
          <w:rFonts w:hint="eastAsia"/>
        </w:rPr>
        <w:t>应</w:t>
      </w:r>
      <w:r>
        <w:t>提交</w:t>
      </w:r>
      <w:r>
        <w:rPr>
          <w:rFonts w:hint="eastAsia"/>
        </w:rPr>
        <w:t>与</w:t>
      </w:r>
      <w:r>
        <w:t>该申请相关的沟通交流编号</w:t>
      </w:r>
      <w:r>
        <w:rPr>
          <w:rFonts w:hint="eastAsia"/>
        </w:rPr>
        <w:t>、沟通</w:t>
      </w:r>
      <w:r>
        <w:t>交流</w:t>
      </w:r>
      <w:r>
        <w:rPr>
          <w:rFonts w:hint="eastAsia"/>
        </w:rPr>
        <w:t>回复意见</w:t>
      </w:r>
      <w:r>
        <w:t>，并</w:t>
      </w:r>
      <w:r>
        <w:rPr>
          <w:rFonts w:hint="eastAsia"/>
        </w:rPr>
        <w:t>就</w:t>
      </w:r>
      <w:r>
        <w:t>回复意见进行</w:t>
      </w:r>
      <w:r>
        <w:rPr>
          <w:rFonts w:hint="eastAsia"/>
        </w:rPr>
        <w:t>逐项答复</w:t>
      </w:r>
      <w:r>
        <w:t>。</w:t>
      </w:r>
    </w:p>
    <w:p>
      <w:pPr>
        <w:pStyle w:val="5"/>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楷体_GB2312"/>
        </w:rPr>
      </w:pPr>
      <w:bookmarkStart w:id="8" w:name="_Toc36757017"/>
      <w:r>
        <w:rPr>
          <w:rFonts w:hint="eastAsia" w:ascii="楷体_GB2312"/>
        </w:rPr>
        <w:t>（三）申请表审查要点</w:t>
      </w:r>
      <w:bookmarkEnd w:id="8"/>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按照</w:t>
      </w:r>
      <w:r>
        <w:t>药品注册申请表</w:t>
      </w:r>
      <w:r>
        <w:rPr>
          <w:rFonts w:hint="eastAsia"/>
        </w:rPr>
        <w:t>填表说明的要求</w:t>
      </w:r>
      <w:r>
        <w:t>规范填写</w:t>
      </w:r>
      <w:r>
        <w:rPr>
          <w:rFonts w:hint="eastAsia"/>
        </w:rPr>
        <w:t>申请表</w:t>
      </w:r>
      <w:r>
        <w:t>，</w:t>
      </w:r>
      <w:r>
        <w:rPr>
          <w:rFonts w:hint="eastAsia"/>
        </w:rPr>
        <w:t>填报信息应与证明文件中相应内容保持一致。</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t>1</w:t>
      </w:r>
      <w:r>
        <w:rPr>
          <w:rFonts w:hint="eastAsia"/>
        </w:rPr>
        <w:t>．药品</w:t>
      </w:r>
      <w:r>
        <w:t>加快上市注册程序</w:t>
      </w:r>
      <w:r>
        <w:rPr>
          <w:rFonts w:hint="eastAsia"/>
        </w:rPr>
        <w:t>：</w:t>
      </w:r>
      <w:r>
        <w:t>按照该申请实际情况勾选。</w:t>
      </w:r>
      <w:r>
        <w:rPr>
          <w:rFonts w:hint="eastAsia"/>
        </w:rPr>
        <w:t>经沟通交流确认后，勾选</w:t>
      </w:r>
      <w:r>
        <w:t>“</w:t>
      </w:r>
      <w:r>
        <w:rPr>
          <w:rFonts w:hint="eastAsia"/>
        </w:rPr>
        <w:t>优先</w:t>
      </w:r>
      <w:r>
        <w:t>审评审批程序”</w:t>
      </w:r>
      <w:r>
        <w:rPr>
          <w:rFonts w:hint="eastAsia"/>
        </w:rPr>
        <w:t>的</w:t>
      </w:r>
      <w:r>
        <w:t>，</w:t>
      </w:r>
      <w:r>
        <w:rPr>
          <w:rFonts w:hint="eastAsia"/>
        </w:rPr>
        <w:t>在提出药品上市许可申请的同时，按照《优先</w:t>
      </w:r>
      <w:r>
        <w:t>审评审批工作程序</w:t>
      </w:r>
      <w:r>
        <w:rPr>
          <w:rFonts w:hint="eastAsia"/>
        </w:rPr>
        <w:t>》提出优先审评审批申请；</w:t>
      </w:r>
      <w:r>
        <w:t>勾选“</w:t>
      </w:r>
      <w:r>
        <w:rPr>
          <w:rFonts w:hint="eastAsia"/>
        </w:rPr>
        <w:t>特别</w:t>
      </w:r>
      <w:r>
        <w:t>审批程序”</w:t>
      </w:r>
      <w:r>
        <w:rPr>
          <w:rFonts w:hint="eastAsia"/>
        </w:rPr>
        <w:t>的</w:t>
      </w:r>
      <w:r>
        <w:t>，应按照《</w:t>
      </w:r>
      <w:r>
        <w:rPr>
          <w:rFonts w:hint="eastAsia"/>
        </w:rPr>
        <w:t>药品</w:t>
      </w:r>
      <w:r>
        <w:t>特别审批程序》</w:t>
      </w:r>
      <w:r>
        <w:rPr>
          <w:rFonts w:hint="eastAsia"/>
        </w:rPr>
        <w:t>办理</w:t>
      </w:r>
      <w: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t>2</w:t>
      </w:r>
      <w:r>
        <w:rPr>
          <w:rFonts w:hint="eastAsia"/>
        </w:rPr>
        <w:t>．申请事项：按照该申请实际申请事项填写。申请临床研究，选临床试验；申请上市，选择上市许可。</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spacing w:val="-4"/>
        </w:rPr>
      </w:pPr>
      <w:r>
        <w:t>3</w:t>
      </w:r>
      <w:r>
        <w:rPr>
          <w:rFonts w:hint="eastAsia"/>
        </w:rPr>
        <w:t>．</w:t>
      </w:r>
      <w:r>
        <w:rPr>
          <w:rFonts w:hint="eastAsia"/>
          <w:spacing w:val="-4"/>
        </w:rPr>
        <w:t>药品注册分类：化学药品应参考</w:t>
      </w:r>
      <w:r>
        <w:rPr>
          <w:rFonts w:hint="eastAsia"/>
        </w:rPr>
        <w:t>《</w:t>
      </w:r>
      <w:r>
        <w:rPr>
          <w:rFonts w:hint="eastAsia"/>
          <w:spacing w:val="-4"/>
        </w:rPr>
        <w:t>化学药品</w:t>
      </w:r>
      <w:r>
        <w:rPr>
          <w:spacing w:val="-4"/>
        </w:rPr>
        <w:t>注册分类及申报资料要求》</w:t>
      </w:r>
      <w:r>
        <w:rPr>
          <w:rFonts w:hint="eastAsia"/>
          <w:spacing w:val="-4"/>
        </w:rPr>
        <w:t>选择。</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t>4</w:t>
      </w:r>
      <w:r>
        <w:rPr>
          <w:rFonts w:hint="eastAsia"/>
        </w:rPr>
        <w:t>．其他事项：同时申请减免临床研究，则选减或免临床研究，并提交</w:t>
      </w:r>
      <w:r>
        <w:t>减免临床</w:t>
      </w:r>
      <w:r>
        <w:rPr>
          <w:rFonts w:hint="eastAsia"/>
        </w:rPr>
        <w:t>研究</w:t>
      </w:r>
      <w:r>
        <w:t>的理由及相关资料</w:t>
      </w:r>
      <w:r>
        <w:rPr>
          <w:rFonts w:hint="eastAsia"/>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t>5</w:t>
      </w:r>
      <w:r>
        <w:rPr>
          <w:rFonts w:hint="eastAsia"/>
        </w:rPr>
        <w:t>．药品通用名称：应与所选参比制剂</w:t>
      </w:r>
      <w:r>
        <w:t>的通用名称</w:t>
      </w:r>
      <w:r>
        <w:rPr>
          <w:rFonts w:hint="eastAsia"/>
        </w:rPr>
        <w:t>一致。未列入国家药品标准或者药品注册标准的，申请人在提出药品上市许可申请时，应当提交通用</w:t>
      </w:r>
      <w:r>
        <w:t>名称</w:t>
      </w:r>
      <w:r>
        <w:rPr>
          <w:rFonts w:hint="eastAsia"/>
        </w:rPr>
        <w:t>证明原件，</w:t>
      </w:r>
      <w:r>
        <w:t>或</w:t>
      </w:r>
      <w:r>
        <w:rPr>
          <w:rFonts w:hint="eastAsia"/>
        </w:rPr>
        <w:t>同时提出通用名称核准申请。</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t>6</w:t>
      </w:r>
      <w:r>
        <w:rPr>
          <w:rFonts w:hint="eastAsia"/>
        </w:rPr>
        <w:t>．商品名称：选择</w:t>
      </w:r>
      <w:r>
        <w:t>“</w:t>
      </w:r>
      <w:r>
        <w:rPr>
          <w:rFonts w:hint="eastAsia"/>
        </w:rPr>
        <w:t>不使用</w:t>
      </w:r>
      <w:r>
        <w:t>”</w:t>
      </w:r>
      <w:r>
        <w:rPr>
          <w:rFonts w:hint="eastAsia"/>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7．同品种已被受理或同期申报的其他制剂及规格：填写该品种已被受理或同期申报的制剂或不同规格品种的受理号及名称，包括联合用药的制剂受理号及名称。若为完成临床研究申请上市的，需填写原临床申请受理号、临床试验批件号、临床试验登记号或生物等效性试验备案号等。</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8．原</w:t>
      </w:r>
      <w:r>
        <w:t>/</w:t>
      </w:r>
      <w:r>
        <w:rPr>
          <w:rFonts w:hint="eastAsia"/>
        </w:rPr>
        <w:t>辅料</w:t>
      </w:r>
      <w:r>
        <w:t>/</w:t>
      </w:r>
      <w:r>
        <w:rPr>
          <w:rFonts w:hint="eastAsia"/>
        </w:rPr>
        <w:t>包材来源：申报药品注册时，须填写所用的原料药、辅料、包材的相关信息，并应与</w:t>
      </w:r>
      <w:r>
        <w:t>所提交的证明文件</w:t>
      </w:r>
      <w:r>
        <w:rPr>
          <w:rFonts w:hint="eastAsia"/>
        </w:rPr>
        <w:t>/原料药</w:t>
      </w:r>
      <w:r>
        <w:t>、药用辅料和药包材登记信息公示平台中相应内容保持一致。</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9．主要适应症或功能主治：简略填写主要适应症或者功能主治，</w:t>
      </w:r>
      <w:r>
        <w:t>应涵盖申报资料中</w:t>
      </w:r>
      <w:r>
        <w:rPr>
          <w:rFonts w:hint="eastAsia"/>
        </w:rPr>
        <w:t>所申请的</w:t>
      </w:r>
      <w:r>
        <w:t>适应症</w:t>
      </w:r>
      <w:r>
        <w:rPr>
          <w:rFonts w:hint="eastAsia"/>
        </w:rPr>
        <w:t>信息。适应症分类应与适应症一致。</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t>1</w:t>
      </w:r>
      <w:r>
        <w:rPr>
          <w:rFonts w:hint="eastAsia"/>
        </w:rPr>
        <w:t>0．是否涉及特殊管理药品或成分：属于麻醉药品、精神药品、医疗用毒性药品、放射性药品管理的特殊药品，应选填。</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11．同品种新药监测期：新药进入监测期之日起，不再受理其他申请人的同品种注册申请；已批准临床的，可受理申报上市许可申请。</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t>1</w:t>
      </w:r>
      <w:r>
        <w:rPr>
          <w:rFonts w:hint="eastAsia"/>
        </w:rPr>
        <w:t>2．本次申请为：填写申报品种本次属于第几次申报。简要说明既往申报及审批情况，如申请人自行撤回或因资料不符合审批要求曾被国家药品监督管理局不予批准等情况。</w:t>
      </w:r>
      <w:r>
        <w:t>原申请审批</w:t>
      </w:r>
      <w:r>
        <w:rPr>
          <w:rFonts w:hint="eastAsia"/>
        </w:rPr>
        <w:t>结束</w:t>
      </w:r>
      <w:r>
        <w:t>后</w:t>
      </w:r>
      <w:r>
        <w:rPr>
          <w:rFonts w:hint="eastAsia"/>
        </w:rPr>
        <w:t>，</w:t>
      </w:r>
      <w:r>
        <w:t>方可再行申报</w:t>
      </w:r>
      <w:r>
        <w:rPr>
          <w:rFonts w:hint="eastAsia"/>
        </w:rP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13．申请人及</w:t>
      </w:r>
      <w:r>
        <w:t>委托研究机构</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所填报的</w:t>
      </w:r>
      <w:r>
        <w:t>信息应与证明文件中相应内容保持一致，</w:t>
      </w:r>
      <w:r>
        <w:rPr>
          <w:rFonts w:hint="eastAsia"/>
        </w:rPr>
        <w:t>并指定其中一个申请机构负责向国家缴纳注册费用。已经填入的申请人各机构均应当由其法定代表人或接受其授权者（另需提供签字授权书原件）在此签名、加盖机构公章（须与其机构名称完全一致）。</w:t>
      </w:r>
    </w:p>
    <w:p>
      <w:pPr>
        <w:pStyle w:val="5"/>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rPr>
          <w:rFonts w:ascii="楷体_GB2312"/>
        </w:rPr>
      </w:pPr>
      <w:bookmarkStart w:id="9" w:name="_Toc36757018"/>
      <w:r>
        <w:rPr>
          <w:rFonts w:hint="eastAsia" w:ascii="楷体_GB2312"/>
        </w:rPr>
        <w:t>（四）申报资料审查要点</w:t>
      </w:r>
      <w:bookmarkEnd w:id="9"/>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1．产品相关证明性文件</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1.</w:t>
      </w:r>
      <w:r>
        <w:t>1</w:t>
      </w:r>
      <w:r>
        <w:rPr>
          <w:rFonts w:hint="eastAsia"/>
        </w:rPr>
        <w:t>原料药、药用辅料及药包材证明文件</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1.1.1原料药、药用辅料及药包材合法来源证明文件，包括供货协议、发票等。</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1.1.2制剂选用已登记原辅包关联审评时</w:t>
      </w:r>
      <w:r>
        <w:t>，还应提交</w:t>
      </w:r>
      <w:r>
        <w:rPr>
          <w:rFonts w:hint="eastAsia"/>
        </w:rPr>
        <w:t>原料药、药用辅料及药包材使用授权书复印件(如适用)。如为</w:t>
      </w:r>
      <w:r>
        <w:t>供应商</w:t>
      </w:r>
      <w:r>
        <w:rPr>
          <w:rFonts w:hint="eastAsia"/>
        </w:rPr>
        <w:t>出具</w:t>
      </w:r>
      <w:r>
        <w:t>，需有原料药、药用辅料和药包材企业授权，并附授权信。</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t>1.2</w:t>
      </w:r>
      <w:r>
        <w:rPr>
          <w:rFonts w:hint="eastAsia"/>
        </w:rPr>
        <w:t>专利信息及证明文件</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申请的药物或者使用的处方、工艺、用途等专利情况及其权属状态说明，以及对他人的专利不构成侵权的声明。应由申请人出具，并承诺对可能的侵权后果承担全部责任。</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t>1.3</w:t>
      </w:r>
      <w:r>
        <w:rPr>
          <w:rFonts w:hint="eastAsia"/>
        </w:rPr>
        <w:t>麻醉药品、精神药品研制立项批复文件复印件</w:t>
      </w:r>
      <w:r>
        <w:t>(</w:t>
      </w:r>
      <w:r>
        <w:rPr>
          <w:rFonts w:hint="eastAsia"/>
        </w:rPr>
        <w:t>如适用</w:t>
      </w:r>
      <w: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1.</w:t>
      </w:r>
      <w:r>
        <w:t>4</w:t>
      </w:r>
      <w:r>
        <w:rPr>
          <w:rFonts w:hint="eastAsia"/>
        </w:rPr>
        <w:t>对照药来源证明文件（如适用）</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1.5药物临床试验相关证明文件（上市申请适用）</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《药物临床试验批件》/临床试验通知书复印件/生物等效性试验备案登记号、临床试验用药质量标准及临床试验登记号</w:t>
      </w:r>
      <w:r>
        <w:t>等相关材料</w:t>
      </w:r>
      <w:r>
        <w:rPr>
          <w:rFonts w:hint="eastAsia"/>
        </w:rPr>
        <w:t>，</w:t>
      </w:r>
      <w:r>
        <w:t>并</w:t>
      </w:r>
      <w:r>
        <w:rPr>
          <w:rFonts w:hint="eastAsia"/>
        </w:rPr>
        <w:t>就《药物临床试验批件》/临床试验通知书中</w:t>
      </w:r>
      <w:r>
        <w:t>意见进行</w:t>
      </w:r>
      <w:r>
        <w:rPr>
          <w:rFonts w:hint="eastAsia"/>
        </w:rPr>
        <w:t>逐项答复</w:t>
      </w:r>
      <w:r>
        <w:t>。</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t>1.</w:t>
      </w:r>
      <w:r>
        <w:rPr>
          <w:rFonts w:hint="eastAsia"/>
        </w:rPr>
        <w:t>6委托研究相关证明文件</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申请人委托其他机构进行药物研究或者进行单项试验、检测、样品的试制等的，应提供申请人与被委托方签订的完整合同书复印件。二次委托研究应提供申请人与中间机构，及中间机构与委托研究机构之间的完整的委托研究合同。</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非临床研究安全性评价机构应提供《药物非临床研究质量管理规范》（简称</w:t>
      </w:r>
      <w:r>
        <w:t>GLP</w:t>
      </w:r>
      <w:r>
        <w:rPr>
          <w:rFonts w:hint="eastAsia"/>
        </w:rPr>
        <w:t>）资质证明。</w:t>
      </w:r>
      <w:r>
        <w:t>采用境外已经完成的药理毒理研究资料支持境内申请人</w:t>
      </w:r>
      <w:r>
        <w:rPr>
          <w:rFonts w:hint="eastAsia"/>
        </w:rPr>
        <w:t>提交</w:t>
      </w:r>
      <w:r>
        <w:t>申请</w:t>
      </w:r>
      <w:r>
        <w:rPr>
          <w:rFonts w:hint="eastAsia"/>
        </w:rPr>
        <w:t>的</w:t>
      </w:r>
      <w:r>
        <w:t>，应符合</w:t>
      </w:r>
      <w:r>
        <w:rPr>
          <w:rFonts w:hint="eastAsia"/>
        </w:rPr>
        <w:t>《</w:t>
      </w:r>
      <w:r>
        <w:t>有关提交境外完成的非临床试验相关证明性文件的要求</w:t>
      </w:r>
      <w:r>
        <w:rPr>
          <w:rFonts w:hint="eastAsia"/>
        </w:rPr>
        <w:t>》。临床试验机构应提供备案证明。</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t>1.</w:t>
      </w:r>
      <w:r>
        <w:rPr>
          <w:rFonts w:hint="eastAsia"/>
        </w:rPr>
        <w:t>7药械组合产品相关证明性文件</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经属性界定确认</w:t>
      </w:r>
      <w:r>
        <w:t>属于药品或以药品为主的药械组合产品</w:t>
      </w:r>
      <w:r>
        <w:rPr>
          <w:rFonts w:hint="eastAsia"/>
        </w:rPr>
        <w:t>，</w:t>
      </w:r>
      <w:r>
        <w:t>应提交</w:t>
      </w:r>
      <w:r>
        <w:rPr>
          <w:rFonts w:hint="eastAsia"/>
        </w:rPr>
        <w:t>药械组合</w:t>
      </w:r>
      <w:r>
        <w:t>产品</w:t>
      </w:r>
      <w:r>
        <w:rPr>
          <w:rFonts w:hint="eastAsia"/>
        </w:rPr>
        <w:t>的</w:t>
      </w:r>
      <w:r>
        <w:t>属性界定</w:t>
      </w:r>
      <w:r>
        <w:rPr>
          <w:rFonts w:hint="eastAsia"/>
        </w:rPr>
        <w:t>结果</w:t>
      </w:r>
      <w:r>
        <w:t>通知书</w:t>
      </w:r>
      <w:r>
        <w:rPr>
          <w:rFonts w:hint="eastAsia"/>
        </w:rPr>
        <w:t>复印件。</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t>1.</w:t>
      </w:r>
      <w:r>
        <w:rPr>
          <w:rFonts w:hint="eastAsia"/>
        </w:rPr>
        <w:t>8允许药品上市销售证明文件</w:t>
      </w:r>
      <w:r>
        <w:t>（境外已上市的境外生产的药品适用）</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rPr>
          <w:rFonts w:hint="eastAsia"/>
        </w:rPr>
        <w:t>1.8.1</w:t>
      </w:r>
      <w:r>
        <w:t>境外</w:t>
      </w:r>
      <w:r>
        <w:rPr>
          <w:rFonts w:hint="eastAsia" w:ascii="仿宋_GB2312"/>
          <w:kern w:val="44"/>
        </w:rPr>
        <w:t>药品管理机构出具的</w:t>
      </w:r>
      <w:r>
        <w:rPr>
          <w:rFonts w:hint="eastAsia"/>
        </w:rPr>
        <w:t>允许该药品上市销售的证明文件、公证认证文书及中文译文。</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t>1.</w:t>
      </w:r>
      <w:r>
        <w:rPr>
          <w:rFonts w:hint="eastAsia"/>
        </w:rPr>
        <w:t>8</w:t>
      </w:r>
      <w:r>
        <w:t>.2</w:t>
      </w:r>
      <w:r>
        <w:rPr>
          <w:rFonts w:hint="eastAsia"/>
        </w:rPr>
        <w:t>对于生产国家或地区</w:t>
      </w:r>
      <w:r>
        <w:t>按</w:t>
      </w:r>
      <w:r>
        <w:rPr>
          <w:rFonts w:hint="eastAsia"/>
        </w:rPr>
        <w:t>食品</w:t>
      </w:r>
      <w:r>
        <w:t>或</w:t>
      </w:r>
      <w:r>
        <w:rPr>
          <w:rFonts w:hint="eastAsia"/>
        </w:rPr>
        <w:t>按医疗器械管理的制剂，应提供该国家或者地区有关管理机构允许该品种上市销售的证明文件。</w:t>
      </w:r>
    </w:p>
    <w:p>
      <w:pPr>
        <w:keepNext w:val="0"/>
        <w:keepLines w:val="0"/>
        <w:pageBreakBefore w:val="0"/>
        <w:widowControl w:val="0"/>
        <w:kinsoku/>
        <w:wordWrap/>
        <w:overflowPunct w:val="0"/>
        <w:topLinePunct w:val="0"/>
        <w:autoSpaceDE/>
        <w:autoSpaceDN/>
        <w:bidi w:val="0"/>
        <w:adjustRightInd/>
        <w:spacing w:line="560" w:lineRule="exact"/>
        <w:ind w:firstLine="640" w:firstLineChars="200"/>
        <w:jc w:val="both"/>
        <w:textAlignment w:val="auto"/>
      </w:pPr>
      <w:r>
        <w:t>1.9</w:t>
      </w:r>
      <w:r>
        <w:rPr>
          <w:rFonts w:hint="eastAsia"/>
        </w:rPr>
        <w:t>境外药品管理机构出具的允许药品变更的证明文件、公证认证文书及中文译文（如适用）</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t>2</w:t>
      </w:r>
      <w:r>
        <w:rPr>
          <w:rFonts w:hint="eastAsia"/>
        </w:rPr>
        <w:t>．申请人/生产</w:t>
      </w:r>
      <w:r>
        <w:t>企业</w:t>
      </w:r>
      <w:r>
        <w:rPr>
          <w:rFonts w:hint="eastAsia"/>
        </w:rPr>
        <w:t>证明性文件</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t>2.1</w:t>
      </w:r>
      <w:r>
        <w:rPr>
          <w:rFonts w:hint="eastAsia"/>
        </w:rPr>
        <w:t>申请人资质证明文件</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t>2.1.1</w:t>
      </w:r>
      <w:r>
        <w:rPr>
          <w:rFonts w:hint="eastAsia"/>
        </w:rPr>
        <w:t>申请人机构合法登记证明文件（营业执照等）。申请人药品生产许可证及其变更记录页（上市许可适用）。</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2.</w:t>
      </w:r>
      <w:r>
        <w:t>1</w:t>
      </w:r>
      <w:r>
        <w:rPr>
          <w:rFonts w:hint="eastAsia"/>
        </w:rPr>
        <w:t>.2境外申请人指定中国境内的企业法人办理</w:t>
      </w:r>
      <w:r>
        <w:t>相关药品注册事项</w:t>
      </w:r>
      <w:r>
        <w:rPr>
          <w:rFonts w:hint="eastAsia"/>
        </w:rPr>
        <w:t>的，应当提供委托文书、公证文书及中文译文，以及</w:t>
      </w:r>
      <w:r>
        <w:t>注册代理机构</w:t>
      </w:r>
      <w:r>
        <w:rPr>
          <w:rFonts w:hint="eastAsia"/>
        </w:rPr>
        <w:t>的营业执照复印件。</w:t>
      </w:r>
      <w:r>
        <w:t>上市许可申请时</w:t>
      </w:r>
      <w:r>
        <w:rPr>
          <w:rFonts w:hint="eastAsia"/>
        </w:rPr>
        <w:t>，</w:t>
      </w:r>
      <w:r>
        <w:t>如变更注册代理机构，还应提交境外</w:t>
      </w:r>
      <w:r>
        <w:rPr>
          <w:rFonts w:hint="eastAsia"/>
        </w:rPr>
        <w:t>申请人解除</w:t>
      </w:r>
      <w:r>
        <w:t>原委托代理注册关系的文书、公证文书及中文译文。</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t>2.2</w:t>
      </w:r>
      <w:r>
        <w:rPr>
          <w:rFonts w:hint="eastAsia"/>
        </w:rPr>
        <w:t>生产企业资质证明文件</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2.2.1</w:t>
      </w:r>
      <w:r>
        <w:t>生产企业</w:t>
      </w:r>
      <w:r>
        <w:rPr>
          <w:rFonts w:hint="eastAsia"/>
        </w:rPr>
        <w:t>机构合法登记证明文件（营业执照等）。</w:t>
      </w:r>
      <w:r>
        <w:t>生产企业</w:t>
      </w:r>
      <w:r>
        <w:rPr>
          <w:rFonts w:hint="eastAsia"/>
        </w:rPr>
        <w:t>药品生产许可证及变更记录页（上市许可适用）。</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2.2.2境外药品管理机构出具的该</w:t>
      </w:r>
      <w:r>
        <w:t>药品生产</w:t>
      </w:r>
      <w:r>
        <w:rPr>
          <w:rFonts w:hint="eastAsia"/>
        </w:rPr>
        <w:t>企业</w:t>
      </w:r>
      <w:r>
        <w:t>和包装厂符合</w:t>
      </w:r>
      <w:r>
        <w:rPr>
          <w:rFonts w:hint="eastAsia"/>
        </w:rPr>
        <w:t>药品生产质量管理规范的证明文件、公证认证文书及中文译文。（境外生产</w:t>
      </w:r>
      <w:r>
        <w:t>药品</w:t>
      </w:r>
      <w:r>
        <w:rPr>
          <w:rFonts w:hint="eastAsia"/>
        </w:rPr>
        <w:t>适用）</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对于生产国家或地区按食品管理的制剂，应提供该国家或地区药品管理机构出具的该生产企业符合药品生产质量管理规范的证明文件，或有关机构出具的该生产企业符合</w:t>
      </w:r>
      <w:r>
        <w:t>ISO 9000</w:t>
      </w:r>
      <w:r>
        <w:rPr>
          <w:rFonts w:hint="eastAsia"/>
        </w:rPr>
        <w:t>质量管理体系的证明文件。对于生产国家或地区按医疗器械管理的制剂，应提供企业资格证明文件。</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t>3</w:t>
      </w:r>
      <w:r>
        <w:rPr>
          <w:rFonts w:hint="eastAsia"/>
        </w:rPr>
        <w:t>．其他申报资料</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t>3.1</w:t>
      </w:r>
      <w:r>
        <w:rPr>
          <w:rFonts w:hint="eastAsia"/>
        </w:rPr>
        <w:t>注册分类及依据</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申请人</w:t>
      </w:r>
      <w:r>
        <w:t>应按照《</w:t>
      </w:r>
      <w:r>
        <w:rPr>
          <w:rFonts w:hint="eastAsia"/>
        </w:rPr>
        <w:t>化学药品注册分类及申报资料要求</w:t>
      </w:r>
      <w:r>
        <w:t>》明确注册分类，并在模块一说明函中说明分类依据</w:t>
      </w:r>
      <w:r>
        <w:rPr>
          <w:rFonts w:hint="eastAsia"/>
        </w:rPr>
        <w:t>。</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3.1.1仿制药</w:t>
      </w:r>
      <w:r>
        <w:t>要求与原研药品具有相同的活性成分、剂型、适应症和给药途径，</w:t>
      </w:r>
      <w:r>
        <w:rPr>
          <w:rFonts w:hint="eastAsia"/>
        </w:rPr>
        <w:t>强调</w:t>
      </w:r>
      <w:r>
        <w:t>仿制药品与</w:t>
      </w:r>
      <w:r>
        <w:rPr>
          <w:rFonts w:hint="eastAsia"/>
        </w:rPr>
        <w:t>参比制剂的</w:t>
      </w:r>
      <w:r>
        <w:t>质量和疗效一致。</w:t>
      </w:r>
      <w:r>
        <w:rPr>
          <w:rFonts w:hint="eastAsia"/>
        </w:rPr>
        <w:t>规格、用法用量等涉及</w:t>
      </w:r>
      <w:r>
        <w:t>人种差异、特殊剂型</w:t>
      </w:r>
      <w:r>
        <w:rPr>
          <w:rFonts w:hint="eastAsia"/>
        </w:rPr>
        <w:t>、</w:t>
      </w:r>
      <w:r>
        <w:t>专利规避</w:t>
      </w:r>
      <w:r>
        <w:rPr>
          <w:rFonts w:hint="eastAsia"/>
        </w:rPr>
        <w:t>等</w:t>
      </w:r>
      <w:r>
        <w:t>情形</w:t>
      </w:r>
      <w:r>
        <w:rPr>
          <w:rFonts w:hint="eastAsia"/>
        </w:rPr>
        <w:t>的</w:t>
      </w:r>
      <w:r>
        <w:t>，</w:t>
      </w:r>
      <w:r>
        <w:rPr>
          <w:rFonts w:hint="eastAsia"/>
        </w:rPr>
        <w:t>应符合</w:t>
      </w:r>
      <w:r>
        <w:t>相关技术指导原则要求。</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3.1.</w:t>
      </w:r>
      <w:r>
        <w:t>2</w:t>
      </w:r>
      <w:r>
        <w:rPr>
          <w:rFonts w:hint="eastAsia"/>
        </w:rPr>
        <w:t xml:space="preserve"> 对于参比制剂明确，且境内同品种已上市的仿制药，应按照化学药品4类申报（境内生产药品适用）</w:t>
      </w:r>
      <w:r>
        <w:t>。</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t>3.1</w:t>
      </w:r>
      <w:r>
        <w:rPr>
          <w:rFonts w:hint="eastAsia"/>
        </w:rPr>
        <w:t>.</w:t>
      </w:r>
      <w:r>
        <w:t>3</w:t>
      </w:r>
      <w:r>
        <w:rPr>
          <w:rFonts w:hint="eastAsia"/>
        </w:rPr>
        <w:t>审评</w:t>
      </w:r>
      <w:r>
        <w:t>审批</w:t>
      </w:r>
      <w:r>
        <w:rPr>
          <w:rFonts w:hint="eastAsia"/>
        </w:rPr>
        <w:t>过程中</w:t>
      </w:r>
      <w:r>
        <w:t>发现</w:t>
      </w:r>
      <w:r>
        <w:rPr>
          <w:rFonts w:hint="eastAsia"/>
        </w:rPr>
        <w:t>注册分类</w:t>
      </w:r>
      <w:r>
        <w:t>与实际情况不符的，申请人应</w:t>
      </w:r>
      <w:r>
        <w:rPr>
          <w:rFonts w:hint="eastAsia"/>
        </w:rPr>
        <w:t>主动</w:t>
      </w:r>
      <w:r>
        <w:t>撤回</w:t>
      </w:r>
      <w:r>
        <w:rPr>
          <w:rFonts w:hint="eastAsia"/>
        </w:rPr>
        <w:t>，</w:t>
      </w:r>
      <w:r>
        <w:t>修改</w:t>
      </w:r>
      <w:r>
        <w:rPr>
          <w:rFonts w:hint="eastAsia"/>
        </w:rPr>
        <w:t>完善</w:t>
      </w:r>
      <w:r>
        <w:t>后</w:t>
      </w:r>
      <w:r>
        <w:rPr>
          <w:rFonts w:hint="eastAsia"/>
        </w:rPr>
        <w:t>再行</w:t>
      </w:r>
      <w:r>
        <w:t>申</w:t>
      </w:r>
      <w:r>
        <w:rPr>
          <w:rFonts w:hint="eastAsia"/>
        </w:rPr>
        <w:t>报。</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3.1.4境外生产药品注册申请首先获得批准后，已经批准境内申请人进行临床试验的，可以按照药品注册</w:t>
      </w:r>
      <w:r>
        <w:t>申报程序</w:t>
      </w:r>
      <w:r>
        <w:rPr>
          <w:rFonts w:hint="eastAsia"/>
        </w:rPr>
        <w:t>继续办理其申请，符合规定的，国家药品监督管理局批准其进行生产；申请人也可以撤回该项申请，重新提出仿制药申请并</w:t>
      </w:r>
      <w:r>
        <w:t>予以说明</w:t>
      </w:r>
      <w:r>
        <w:rPr>
          <w:rFonts w:hint="eastAsia"/>
        </w:rPr>
        <w:t>。</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3.2申报资料真实性声明，应由申请人声明对所申报的材料真实性负责，保证申报资料的真实有效。同时，需要法定代表人签字盖章。在域外形成的此文件，应经所在国公证机构公证及驻所在国中国使领馆认证。</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t>3.3</w:t>
      </w:r>
      <w:r>
        <w:rPr>
          <w:rFonts w:hint="eastAsia"/>
        </w:rPr>
        <w:t>仿制药上市注册申请时，在注册批生产规模符合要求的前提下，申报资料至少需要包括三个注册批样品</w:t>
      </w:r>
      <w:r>
        <w:t>6</w:t>
      </w:r>
      <w:r>
        <w:rPr>
          <w:rFonts w:hint="eastAsia"/>
        </w:rPr>
        <w:t>个月稳定性试验数据。</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t>3.4</w:t>
      </w:r>
      <w:r>
        <w:rPr>
          <w:rFonts w:hint="eastAsia"/>
        </w:rPr>
        <w:t xml:space="preserve"> 临床</w:t>
      </w:r>
      <w:r>
        <w:t>试验方案：</w:t>
      </w:r>
      <w:r>
        <w:rPr>
          <w:rFonts w:hint="eastAsia"/>
        </w:rPr>
        <w:t>对于申请</w:t>
      </w:r>
      <w:r>
        <w:t>临床</w:t>
      </w:r>
      <w:r>
        <w:rPr>
          <w:rFonts w:hint="eastAsia"/>
        </w:rPr>
        <w:t>同时</w:t>
      </w:r>
      <w:r>
        <w:t>提出减免临床</w:t>
      </w:r>
      <w:r>
        <w:rPr>
          <w:rFonts w:hint="eastAsia"/>
        </w:rPr>
        <w:t>试验</w:t>
      </w:r>
      <w:r>
        <w:t>的，</w:t>
      </w:r>
      <w:r>
        <w:rPr>
          <w:rFonts w:hint="eastAsia"/>
        </w:rPr>
        <w:t>以及境内</w:t>
      </w:r>
      <w:r>
        <w:t>未有同</w:t>
      </w:r>
      <w:r>
        <w:rPr>
          <w:rFonts w:hint="eastAsia"/>
        </w:rPr>
        <w:t>品种</w:t>
      </w:r>
      <w:r>
        <w:t>上市的药品</w:t>
      </w:r>
      <w:r>
        <w:rPr>
          <w:rFonts w:hint="eastAsia"/>
        </w:rPr>
        <w:t>直接提出</w:t>
      </w:r>
      <w:r>
        <w:t>上市许可申请的，</w:t>
      </w:r>
      <w:r>
        <w:rPr>
          <w:rFonts w:hint="eastAsia"/>
        </w:rPr>
        <w:t>应</w:t>
      </w:r>
      <w:r>
        <w:t>同时提交</w:t>
      </w:r>
      <w:r>
        <w:rPr>
          <w:rFonts w:hint="eastAsia"/>
        </w:rPr>
        <w:t>临床</w:t>
      </w:r>
      <w:r>
        <w:t>试验计划和方案。</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3.</w:t>
      </w:r>
      <w:r>
        <w:t>5</w:t>
      </w:r>
      <w:r>
        <w:rPr>
          <w:rFonts w:hint="eastAsia"/>
        </w:rPr>
        <w:t>临床试验报告封面应符合临床</w:t>
      </w:r>
      <w:r>
        <w:t>试验报告相关指导原则要求</w:t>
      </w:r>
      <w:r>
        <w:rPr>
          <w:rFonts w:hint="eastAsia"/>
        </w:rPr>
        <w:t>，并应加盖临床研究机构有效公章，印章应加盖在文字处。临床</w:t>
      </w:r>
      <w:r>
        <w:t>试验数据库资料</w:t>
      </w:r>
      <w:r>
        <w:rPr>
          <w:rFonts w:hint="eastAsia"/>
        </w:rPr>
        <w:t>参照相关</w:t>
      </w:r>
      <w:r>
        <w:t>要求执行。</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t>3.6</w:t>
      </w:r>
      <w:r>
        <w:rPr>
          <w:rFonts w:hint="eastAsia"/>
        </w:rPr>
        <w:t>拟使用的药品通用名称，未列入国家药品标准或者药品注册标准的，应当在提出药品上市许可申请时同时提出通用名称核准申请，并提交通用名称核准相关资料，单独成袋。</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3.</w:t>
      </w:r>
      <w:r>
        <w:t>7</w:t>
      </w:r>
      <w:r>
        <w:rPr>
          <w:rFonts w:hint="eastAsia"/>
        </w:rPr>
        <w:t>拟申报注册的药械组合产品，已有同类产品经属性界定</w:t>
      </w:r>
      <w:r>
        <w:rPr>
          <w:rFonts w:hint="eastAsia"/>
          <w:spacing w:val="-6"/>
        </w:rPr>
        <w:t>为药品的，按照药品进行申报；尚未经属性界定的，申请人应当在申报注册前向国家药品监督管理局申请产品属性界定。属性界定为药品为主的，按照《药品注册管理办法》规定的程序进行注册，其中</w:t>
      </w:r>
      <w:r>
        <w:rPr>
          <w:spacing w:val="-6"/>
        </w:rPr>
        <w:t>医疗器械部分参照</w:t>
      </w:r>
      <w:r>
        <w:rPr>
          <w:rFonts w:hint="eastAsia"/>
          <w:spacing w:val="-6"/>
        </w:rPr>
        <w:t>医疗器械注册申报资料要求提交，</w:t>
      </w:r>
      <w:r>
        <w:rPr>
          <w:spacing w:val="-6"/>
        </w:rPr>
        <w:t>单独成袋。</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3.8申请人</w:t>
      </w:r>
      <w:r>
        <w:t>撤回注册申请后重新申报的，应对重新开展或者补充完善的相关情况进行详细说明。</w:t>
      </w:r>
    </w:p>
    <w:p>
      <w:pPr>
        <w:pStyle w:val="5"/>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rPr>
          <w:rFonts w:ascii="楷体_GB2312"/>
        </w:rPr>
      </w:pPr>
      <w:bookmarkStart w:id="10" w:name="_Toc36757019"/>
      <w:r>
        <w:rPr>
          <w:rFonts w:hint="eastAsia" w:ascii="楷体_GB2312"/>
        </w:rPr>
        <w:t>（五）其他提示</w:t>
      </w:r>
      <w:bookmarkEnd w:id="10"/>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1．麻醉药品、精神药品、医疗用毒性药品、药品类易制毒化学品不得委托生产；但是，国务院药品监督管理部门另有规定的除外。</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2．化学原料药、药用辅料及药包材与药品制剂关联审评审批要求</w:t>
      </w:r>
      <w:r>
        <w:t>，参照《</w:t>
      </w:r>
      <w:r>
        <w:rPr>
          <w:rFonts w:hint="eastAsia"/>
        </w:rPr>
        <w:t>药品</w:t>
      </w:r>
      <w:r>
        <w:t>注册管理办法》</w:t>
      </w:r>
      <w:r>
        <w:rPr>
          <w:rFonts w:hint="eastAsia"/>
        </w:rPr>
        <w:t>及</w:t>
      </w:r>
      <w:r>
        <w:t>相关规定</w:t>
      </w:r>
      <w:r>
        <w:rPr>
          <w:rFonts w:hint="eastAsia"/>
        </w:rPr>
        <w:t>办理</w:t>
      </w:r>
      <w:r>
        <w:t>。</w:t>
      </w:r>
      <w:r>
        <w:rPr>
          <w:rFonts w:hint="eastAsia"/>
        </w:rPr>
        <w:t>在</w:t>
      </w:r>
      <w:r>
        <w:t>药品制剂注册申请时，</w:t>
      </w:r>
      <w:r>
        <w:rPr>
          <w:rFonts w:hint="eastAsia"/>
        </w:rPr>
        <w:t>由</w:t>
      </w:r>
      <w:r>
        <w:t>药品制剂注册申请人</w:t>
      </w:r>
      <w:r>
        <w:rPr>
          <w:rFonts w:hint="eastAsia"/>
        </w:rPr>
        <w:t>一并</w:t>
      </w:r>
      <w:r>
        <w:t>提供原料药研究资料的，应严格按照</w:t>
      </w:r>
      <w:r>
        <w:rPr>
          <w:rFonts w:hint="eastAsia"/>
        </w:rPr>
        <w:t>CTD要求</w:t>
      </w:r>
      <w:r>
        <w:t>提交完整的原料药申报资料。</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3．关于取消证明事项的公告中规定的“改为</w:t>
      </w:r>
      <w:r>
        <w:t>内部核查</w:t>
      </w:r>
      <w:r>
        <w:rPr>
          <w:rFonts w:hint="eastAsia"/>
        </w:rPr>
        <w:t>”的</w:t>
      </w:r>
      <w:r>
        <w:t>证明事项</w:t>
      </w:r>
      <w:r>
        <w:rPr>
          <w:rFonts w:hint="eastAsia"/>
        </w:rPr>
        <w:t>，按公告</w:t>
      </w:r>
      <w:r>
        <w:t>要求</w:t>
      </w:r>
      <w:r>
        <w:rPr>
          <w:rFonts w:hint="eastAsia"/>
        </w:rPr>
        <w:t>执行</w:t>
      </w:r>
      <w:r>
        <w:t>。</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4．境外生产的药品所提交的境外药品管理机构出具的证明文件（包括允许药品上市销售证明文件、符合药品生产质量管理规范证明文件以及允许药品变更证明文件等），为符合世界卫生组织推荐的统一格式原件的，可不经所在国公证机构公证及驻所在国中国使领馆认证。</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5．生物等效性</w:t>
      </w:r>
      <w:r>
        <w:t>试验</w:t>
      </w:r>
      <w:r>
        <w:rPr>
          <w:rFonts w:hint="eastAsia"/>
        </w:rPr>
        <w:t>应按照</w:t>
      </w:r>
      <w:r>
        <w:t>《关于化学药生物等效性试验实行备案管理的公告》（</w:t>
      </w:r>
      <w:r>
        <w:rPr>
          <w:rFonts w:hint="eastAsia"/>
        </w:rPr>
        <w:t>2015年</w:t>
      </w:r>
      <w:r>
        <w:t>第</w:t>
      </w:r>
      <w:r>
        <w:rPr>
          <w:rFonts w:hint="eastAsia"/>
        </w:rPr>
        <w:t>257号</w:t>
      </w:r>
      <w:r>
        <w:t>）</w:t>
      </w:r>
      <w:r>
        <w:rPr>
          <w:rFonts w:hint="eastAsia"/>
        </w:rPr>
        <w:t>等相关要求</w:t>
      </w:r>
      <w:r>
        <w:t>办理。</w:t>
      </w:r>
      <w:r>
        <w:rPr>
          <w:rFonts w:hint="eastAsia"/>
        </w:rPr>
        <w:t>属化学</w:t>
      </w:r>
      <w:r>
        <w:t>药品注册分类</w:t>
      </w:r>
      <w:r>
        <w:rPr>
          <w:rFonts w:hint="eastAsia"/>
        </w:rPr>
        <w:t>3类、4类、5.2类的</w:t>
      </w:r>
      <w:r>
        <w:t>放射性药品、麻醉药品、第一类精神药品、第二类精神药品、药品类易制毒化学品及细胞毒类药品，申请人</w:t>
      </w:r>
      <w:r>
        <w:rPr>
          <w:rFonts w:hint="eastAsia"/>
        </w:rPr>
        <w:t>进行</w:t>
      </w:r>
      <w:r>
        <w:t>自</w:t>
      </w:r>
      <w:r>
        <w:rPr>
          <w:rFonts w:hint="eastAsia"/>
        </w:rPr>
        <w:t>我</w:t>
      </w:r>
      <w:r>
        <w:t>评估后</w:t>
      </w:r>
      <w:r>
        <w:rPr>
          <w:rFonts w:hint="eastAsia"/>
        </w:rPr>
        <w:t>，在</w:t>
      </w:r>
      <w:r>
        <w:t>能够确保受试者安全的前提下，可进行</w:t>
      </w:r>
      <w:r>
        <w:rPr>
          <w:rFonts w:hint="eastAsia"/>
        </w:rPr>
        <w:t>BE试验</w:t>
      </w:r>
      <w:r>
        <w:t>备案</w:t>
      </w:r>
      <w:r>
        <w:rPr>
          <w:rFonts w:hint="eastAsia"/>
        </w:rPr>
        <w:t>。</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6．上市申请时，如临床</w:t>
      </w:r>
      <w:r>
        <w:t>试验</w:t>
      </w:r>
      <w:r>
        <w:rPr>
          <w:rFonts w:hint="eastAsia"/>
        </w:rPr>
        <w:t>总结报告起始日期无法证明获准临床试验之日起三年内实施的，应提交获准临床试验之日起三年内的首例受试者知情同意书复印件。</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7．在</w:t>
      </w:r>
      <w:r>
        <w:t>已获准开展的临床试验期间，</w:t>
      </w:r>
      <w:r>
        <w:rPr>
          <w:rFonts w:hint="eastAsia"/>
        </w:rPr>
        <w:t>提出</w:t>
      </w:r>
      <w:r>
        <w:t>新增适应症</w:t>
      </w:r>
      <w:r>
        <w:rPr>
          <w:rFonts w:hint="eastAsia"/>
        </w:rPr>
        <w:t>临床</w:t>
      </w:r>
      <w:r>
        <w:t>试验申请的，申请时与</w:t>
      </w:r>
      <w:r>
        <w:rPr>
          <w:rFonts w:hint="eastAsia"/>
        </w:rPr>
        <w:t>首次</w:t>
      </w:r>
      <w:r>
        <w:t>申请重复的资料可免于提交</w:t>
      </w:r>
      <w:r>
        <w:rPr>
          <w:rFonts w:hint="eastAsia"/>
        </w:rPr>
        <w:t>（</w:t>
      </w:r>
      <w:r>
        <w:t>模块一除外），但</w:t>
      </w:r>
      <w:r>
        <w:rPr>
          <w:rFonts w:hint="eastAsia"/>
        </w:rPr>
        <w:t>应</w:t>
      </w:r>
      <w:r>
        <w:t>在申报资料中列出</w:t>
      </w:r>
      <w:r>
        <w:rPr>
          <w:rFonts w:hint="eastAsia"/>
        </w:rPr>
        <w:t>首次</w:t>
      </w:r>
      <w:r>
        <w:t>申请中相关资料的编号。</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8. 申请人应当在三十日内完成补正资料，申请人无正当理由逾期不予补正的，视为放弃申请。</w:t>
      </w:r>
    </w:p>
    <w:p>
      <w:pPr>
        <w:pStyle w:val="4"/>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rPr>
          <w:rFonts w:ascii="黑体"/>
        </w:rPr>
      </w:pPr>
      <w:bookmarkStart w:id="11" w:name="_Toc36757020"/>
      <w:r>
        <w:rPr>
          <w:rFonts w:hint="eastAsia" w:ascii="黑体"/>
        </w:rPr>
        <w:t>五、受理审查决定</w:t>
      </w:r>
      <w:bookmarkEnd w:id="11"/>
    </w:p>
    <w:p>
      <w:pPr>
        <w:pStyle w:val="5"/>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rPr>
          <w:rFonts w:ascii="楷体_GB2312"/>
        </w:rPr>
      </w:pPr>
      <w:bookmarkStart w:id="12" w:name="_Toc36757021"/>
      <w:r>
        <w:rPr>
          <w:rFonts w:hint="eastAsia" w:ascii="楷体_GB2312"/>
        </w:rPr>
        <w:t>（一）受理</w:t>
      </w:r>
      <w:bookmarkEnd w:id="12"/>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t>1</w:t>
      </w:r>
      <w:r>
        <w:rPr>
          <w:rFonts w:hint="eastAsia"/>
        </w:rPr>
        <w:t>．受理通知单：符合形式审查要求的，出具《受理通知书》一式两份，一份给申请人，一份存入资料。</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t>2</w:t>
      </w:r>
      <w:r>
        <w:rPr>
          <w:rFonts w:hint="eastAsia"/>
        </w:rPr>
        <w:t>．缴费通知书：需要缴费。</w:t>
      </w:r>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依照《关于发布药品、医疗器械产品注册收费标准的公告》（</w:t>
      </w:r>
      <w:r>
        <w:t>2015</w:t>
      </w:r>
      <w:r>
        <w:rPr>
          <w:rFonts w:hint="eastAsia"/>
        </w:rPr>
        <w:t>年第</w:t>
      </w:r>
      <w:r>
        <w:t>53</w:t>
      </w:r>
      <w:r>
        <w:rPr>
          <w:rFonts w:hint="eastAsia"/>
        </w:rPr>
        <w:t>号）、</w:t>
      </w:r>
      <w:r>
        <w:t>《</w:t>
      </w:r>
      <w:r>
        <w:rPr>
          <w:rFonts w:hint="eastAsia"/>
        </w:rPr>
        <w:t>关于化学药品新注册分类收费标准有关事宜的通告</w:t>
      </w:r>
      <w:r>
        <w:t>》</w:t>
      </w:r>
      <w:r>
        <w:rPr>
          <w:rFonts w:hint="eastAsia"/>
        </w:rPr>
        <w:t>（</w:t>
      </w:r>
      <w:r>
        <w:t>2016</w:t>
      </w:r>
      <w:r>
        <w:rPr>
          <w:rFonts w:hint="eastAsia"/>
        </w:rPr>
        <w:t>年第</w:t>
      </w:r>
      <w:r>
        <w:t>124</w:t>
      </w:r>
      <w:r>
        <w:rPr>
          <w:rFonts w:hint="eastAsia"/>
        </w:rPr>
        <w:t>号）及《化学</w:t>
      </w:r>
      <w:r>
        <w:t>药品注册分类改革工作方案</w:t>
      </w:r>
      <w:r>
        <w:rPr>
          <w:rFonts w:hint="eastAsia"/>
        </w:rPr>
        <w:t>》政策解读</w:t>
      </w:r>
      <w:r>
        <w:t>（</w:t>
      </w:r>
      <w:r>
        <w:rPr>
          <w:rFonts w:hint="eastAsia"/>
        </w:rPr>
        <w:t>二</w:t>
      </w:r>
      <w:r>
        <w:t>）</w:t>
      </w:r>
      <w:r>
        <w:rPr>
          <w:rFonts w:hint="eastAsia"/>
        </w:rPr>
        <w:t>等文件要求缴费。</w:t>
      </w:r>
    </w:p>
    <w:p>
      <w:pPr>
        <w:pStyle w:val="5"/>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rPr>
          <w:rFonts w:ascii="楷体_GB2312" w:hAnsi="黑体"/>
        </w:rPr>
      </w:pPr>
      <w:bookmarkStart w:id="13" w:name="_Toc36757022"/>
      <w:r>
        <w:rPr>
          <w:rFonts w:hint="eastAsia" w:ascii="楷体_GB2312" w:hAnsi="黑体"/>
        </w:rPr>
        <w:t>（二）补正</w:t>
      </w:r>
      <w:bookmarkEnd w:id="13"/>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申报资料不齐全或者不符合法定形式的，应一次告知申请人需要补正的全部内容，出具《补正通知书》。</w:t>
      </w:r>
    </w:p>
    <w:p>
      <w:pPr>
        <w:pStyle w:val="5"/>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rPr>
          <w:rFonts w:ascii="楷体_GB2312" w:hAnsi="黑体"/>
        </w:rPr>
      </w:pPr>
      <w:bookmarkStart w:id="14" w:name="_Toc36757023"/>
      <w:r>
        <w:rPr>
          <w:rFonts w:hint="eastAsia" w:ascii="楷体_GB2312" w:hAnsi="黑体"/>
        </w:rPr>
        <w:t>（三）不予受理</w:t>
      </w:r>
      <w:bookmarkEnd w:id="14"/>
    </w:p>
    <w:p>
      <w:pPr>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pPr>
      <w:r>
        <w:rPr>
          <w:rFonts w:hint="eastAsia"/>
        </w:rPr>
        <w:t>不符合要求的，出具《不予受理通知书》，并说明理由。</w:t>
      </w:r>
    </w:p>
    <w:p>
      <w:pPr>
        <w:pStyle w:val="5"/>
        <w:keepNext w:val="0"/>
        <w:keepLines w:val="0"/>
        <w:pageBreakBefore w:val="0"/>
        <w:widowControl w:val="0"/>
        <w:kinsoku/>
        <w:wordWrap/>
        <w:overflowPunct w:val="0"/>
        <w:topLinePunct w:val="0"/>
        <w:autoSpaceDE/>
        <w:autoSpaceDN/>
        <w:bidi w:val="0"/>
        <w:adjustRightInd/>
        <w:snapToGrid/>
        <w:spacing w:line="540" w:lineRule="exact"/>
        <w:ind w:firstLine="640" w:firstLineChars="200"/>
        <w:jc w:val="both"/>
        <w:textAlignment w:val="auto"/>
        <w:rPr>
          <w:rFonts w:ascii="楷体_GB2312" w:hAnsi="黑体"/>
        </w:rPr>
      </w:pPr>
      <w:bookmarkStart w:id="15" w:name="_Toc36757024"/>
      <w:r>
        <w:rPr>
          <w:rFonts w:hint="eastAsia" w:ascii="楷体_GB2312" w:hAnsi="黑体"/>
        </w:rPr>
        <w:t>（四）受理流程图</w:t>
      </w:r>
      <w:bookmarkEnd w:id="15"/>
    </w:p>
    <w:p>
      <w:pPr>
        <w:keepNext w:val="0"/>
        <w:keepLines w:val="0"/>
        <w:pageBreakBefore w:val="0"/>
        <w:kinsoku/>
        <w:wordWrap/>
        <w:overflowPunct w:val="0"/>
        <w:topLinePunct w:val="0"/>
        <w:autoSpaceDE/>
        <w:autoSpaceDN/>
        <w:bidi w:val="0"/>
        <w:spacing w:line="560" w:lineRule="exact"/>
        <w:ind w:firstLine="640"/>
        <w:textAlignment w:val="auto"/>
        <w:rPr>
          <w:rFonts w:ascii="仿宋_GB2312" w:hAnsi="黑体" w:cs="仿宋_GB2312"/>
          <w:color w:val="000000"/>
          <w:sz w:val="30"/>
          <w:szCs w:val="30"/>
        </w:rPr>
      </w:pPr>
      <w:bookmarkStart w:id="16" w:name="_Toc36757025"/>
      <w:r>
        <mc:AlternateContent>
          <mc:Choice Requires="wpg">
            <w:drawing>
              <wp:anchor distT="0" distB="0" distL="114300" distR="114300" simplePos="0" relativeHeight="251659264" behindDoc="0" locked="0" layoutInCell="1" allowOverlap="1">
                <wp:simplePos x="0" y="0"/>
                <wp:positionH relativeFrom="column">
                  <wp:posOffset>37465</wp:posOffset>
                </wp:positionH>
                <wp:positionV relativeFrom="paragraph">
                  <wp:posOffset>81280</wp:posOffset>
                </wp:positionV>
                <wp:extent cx="5242560" cy="4979670"/>
                <wp:effectExtent l="19050" t="0" r="15240" b="11430"/>
                <wp:wrapNone/>
                <wp:docPr id="14" name="组合 14"/>
                <wp:cNvGraphicFramePr/>
                <a:graphic xmlns:a="http://schemas.openxmlformats.org/drawingml/2006/main">
                  <a:graphicData uri="http://schemas.microsoft.com/office/word/2010/wordprocessingGroup">
                    <wpg:wgp>
                      <wpg:cNvGrpSpPr/>
                      <wpg:grpSpPr>
                        <a:xfrm>
                          <a:off x="0" y="0"/>
                          <a:ext cx="5242560" cy="4979774"/>
                          <a:chOff x="0" y="0"/>
                          <a:chExt cx="49968" cy="44916"/>
                        </a:xfrm>
                      </wpg:grpSpPr>
                      <wps:wsp>
                        <wps:cNvPr id="15" name="矩形 1"/>
                        <wps:cNvSpPr>
                          <a:spLocks noChangeArrowheads="1"/>
                        </wps:cNvSpPr>
                        <wps:spPr bwMode="auto">
                          <a:xfrm>
                            <a:off x="6060" y="0"/>
                            <a:ext cx="12954" cy="5143"/>
                          </a:xfrm>
                          <a:prstGeom prst="rect">
                            <a:avLst/>
                          </a:prstGeom>
                          <a:solidFill>
                            <a:srgbClr val="FFFFFF"/>
                          </a:solidFill>
                          <a:ln w="6350">
                            <a:solidFill>
                              <a:srgbClr val="000000"/>
                            </a:solidFill>
                            <a:miter lim="800000"/>
                          </a:ln>
                        </wps:spPr>
                        <wps:txbx>
                          <w:txbxContent>
                            <w:p>
                              <w:pPr>
                                <w:ind w:firstLine="0" w:firstLineChars="0"/>
                                <w:jc w:val="center"/>
                                <w:rPr>
                                  <w:rFonts w:ascii="仿宋_GB2312"/>
                                  <w:color w:val="000000"/>
                                  <w:sz w:val="24"/>
                                  <w:szCs w:val="24"/>
                                </w:rPr>
                              </w:pPr>
                              <w:r>
                                <w:rPr>
                                  <w:rFonts w:hint="eastAsia" w:ascii="仿宋_GB2312"/>
                                  <w:color w:val="000000"/>
                                  <w:sz w:val="24"/>
                                  <w:szCs w:val="24"/>
                                </w:rPr>
                                <w:t>资料申报</w:t>
                              </w:r>
                            </w:p>
                          </w:txbxContent>
                        </wps:txbx>
                        <wps:bodyPr rot="0" vert="horz" wrap="square" lIns="91440" tIns="45720" rIns="91440" bIns="45720" anchor="ctr" anchorCtr="0" upright="1">
                          <a:noAutofit/>
                        </wps:bodyPr>
                      </wps:wsp>
                      <wps:wsp>
                        <wps:cNvPr id="16" name="流程图: 决策 3"/>
                        <wps:cNvSpPr>
                          <a:spLocks noChangeArrowheads="1"/>
                        </wps:cNvSpPr>
                        <wps:spPr bwMode="auto">
                          <a:xfrm>
                            <a:off x="0" y="8825"/>
                            <a:ext cx="25336" cy="10738"/>
                          </a:xfrm>
                          <a:prstGeom prst="flowChartDecision">
                            <a:avLst/>
                          </a:prstGeom>
                          <a:solidFill>
                            <a:srgbClr val="FFFFFF"/>
                          </a:solidFill>
                          <a:ln w="6350">
                            <a:solidFill>
                              <a:srgbClr val="000000"/>
                            </a:solidFill>
                            <a:miter lim="800000"/>
                          </a:ln>
                        </wps:spPr>
                        <wps:txbx>
                          <w:txbxContent>
                            <w:p>
                              <w:pPr>
                                <w:spacing w:line="260" w:lineRule="exact"/>
                                <w:ind w:firstLine="0" w:firstLineChars="0"/>
                                <w:jc w:val="center"/>
                                <w:rPr>
                                  <w:rFonts w:ascii="仿宋_GB2312"/>
                                  <w:sz w:val="24"/>
                                  <w:szCs w:val="24"/>
                                </w:rPr>
                              </w:pPr>
                              <w:r>
                                <w:rPr>
                                  <w:rFonts w:hint="eastAsia" w:ascii="仿宋_GB2312"/>
                                  <w:sz w:val="24"/>
                                  <w:szCs w:val="24"/>
                                </w:rPr>
                                <w:t>国家局药审中心</w:t>
                              </w:r>
                            </w:p>
                            <w:p>
                              <w:pPr>
                                <w:spacing w:line="260" w:lineRule="exact"/>
                                <w:ind w:firstLine="0" w:firstLineChars="0"/>
                                <w:jc w:val="center"/>
                                <w:rPr>
                                  <w:rFonts w:ascii="仿宋_GB2312"/>
                                  <w:sz w:val="24"/>
                                  <w:szCs w:val="24"/>
                                </w:rPr>
                              </w:pPr>
                              <w:r>
                                <w:rPr>
                                  <w:rFonts w:hint="eastAsia" w:ascii="仿宋_GB2312"/>
                                  <w:snapToGrid w:val="0"/>
                                  <w:color w:val="000000"/>
                                  <w:sz w:val="24"/>
                                  <w:szCs w:val="24"/>
                                </w:rPr>
                                <w:t>签收资料并进行形式审查</w:t>
                              </w:r>
                            </w:p>
                          </w:txbxContent>
                        </wps:txbx>
                        <wps:bodyPr rot="0" vert="horz" wrap="square" lIns="91440" tIns="45720" rIns="91440" bIns="45720" anchor="ctr" anchorCtr="0" upright="1">
                          <a:noAutofit/>
                        </wps:bodyPr>
                      </wps:wsp>
                      <wps:wsp>
                        <wps:cNvPr id="17" name="直接箭头连接符 5"/>
                        <wps:cNvCnPr>
                          <a:cxnSpLocks noChangeShapeType="1"/>
                        </wps:cNvCnPr>
                        <wps:spPr bwMode="auto">
                          <a:xfrm flipH="1">
                            <a:off x="12652" y="5209"/>
                            <a:ext cx="0" cy="3810"/>
                          </a:xfrm>
                          <a:prstGeom prst="straightConnector1">
                            <a:avLst/>
                          </a:prstGeom>
                          <a:noFill/>
                          <a:ln w="19050">
                            <a:solidFill>
                              <a:srgbClr val="000000"/>
                            </a:solidFill>
                            <a:round/>
                            <a:tailEnd type="arrow" w="med" len="med"/>
                          </a:ln>
                        </wps:spPr>
                        <wps:bodyPr/>
                      </wps:wsp>
                      <wps:wsp>
                        <wps:cNvPr id="18" name="矩形 7"/>
                        <wps:cNvSpPr>
                          <a:spLocks noChangeArrowheads="1"/>
                        </wps:cNvSpPr>
                        <wps:spPr bwMode="auto">
                          <a:xfrm>
                            <a:off x="12759" y="19563"/>
                            <a:ext cx="9525" cy="2763"/>
                          </a:xfrm>
                          <a:prstGeom prst="rect">
                            <a:avLst/>
                          </a:prstGeom>
                          <a:solidFill>
                            <a:srgbClr val="FFFFFF"/>
                          </a:solidFill>
                          <a:ln w="25400">
                            <a:solidFill>
                              <a:srgbClr val="FFFFFF"/>
                            </a:solidFill>
                            <a:miter lim="800000"/>
                          </a:ln>
                        </wps:spPr>
                        <wps:txbx>
                          <w:txbxContent>
                            <w:p>
                              <w:pPr>
                                <w:adjustRightInd w:val="0"/>
                                <w:snapToGrid w:val="0"/>
                                <w:ind w:firstLine="0" w:firstLineChars="0"/>
                                <w:jc w:val="center"/>
                                <w:rPr>
                                  <w:rFonts w:ascii="仿宋_GB2312"/>
                                  <w:sz w:val="24"/>
                                  <w:szCs w:val="24"/>
                                </w:rPr>
                              </w:pPr>
                              <w:r>
                                <w:rPr>
                                  <w:rFonts w:hint="eastAsia" w:ascii="仿宋_GB2312"/>
                                  <w:sz w:val="24"/>
                                  <w:szCs w:val="24"/>
                                </w:rPr>
                                <w:t>符合要求</w:t>
                              </w:r>
                            </w:p>
                          </w:txbxContent>
                        </wps:txbx>
                        <wps:bodyPr rot="0" vert="horz" wrap="square" lIns="91440" tIns="45720" rIns="91440" bIns="45720" anchor="ctr" anchorCtr="0" upright="1">
                          <a:noAutofit/>
                        </wps:bodyPr>
                      </wps:wsp>
                      <wps:wsp>
                        <wps:cNvPr id="19" name="矩形 8"/>
                        <wps:cNvSpPr>
                          <a:spLocks noChangeArrowheads="1"/>
                        </wps:cNvSpPr>
                        <wps:spPr bwMode="auto">
                          <a:xfrm>
                            <a:off x="3508" y="24561"/>
                            <a:ext cx="19699" cy="8655"/>
                          </a:xfrm>
                          <a:prstGeom prst="rect">
                            <a:avLst/>
                          </a:prstGeom>
                          <a:solidFill>
                            <a:srgbClr val="FFFFFF"/>
                          </a:solidFill>
                          <a:ln w="6350">
                            <a:solidFill>
                              <a:srgbClr val="000000"/>
                            </a:solidFill>
                            <a:miter lim="800000"/>
                          </a:ln>
                        </wps:spPr>
                        <wps:txbx>
                          <w:txbxContent>
                            <w:p>
                              <w:pPr>
                                <w:adjustRightInd w:val="0"/>
                                <w:snapToGrid w:val="0"/>
                                <w:ind w:firstLine="0" w:firstLineChars="0"/>
                                <w:jc w:val="center"/>
                                <w:rPr>
                                  <w:rFonts w:ascii="仿宋_GB2312"/>
                                  <w:sz w:val="24"/>
                                  <w:szCs w:val="24"/>
                                </w:rPr>
                              </w:pPr>
                              <w:r>
                                <w:rPr>
                                  <w:rFonts w:hint="eastAsia" w:ascii="仿宋_GB2312"/>
                                  <w:sz w:val="24"/>
                                  <w:szCs w:val="24"/>
                                </w:rPr>
                                <w:t>国家局药审中心出具《受理通知书》、《缴费通知书》等</w:t>
                              </w:r>
                            </w:p>
                          </w:txbxContent>
                        </wps:txbx>
                        <wps:bodyPr rot="0" vert="horz" wrap="square" lIns="91440" tIns="45720" rIns="91440" bIns="45720" anchor="ctr" anchorCtr="0" upright="1">
                          <a:noAutofit/>
                        </wps:bodyPr>
                      </wps:wsp>
                      <wps:wsp>
                        <wps:cNvPr id="20" name="直接箭头连接符 9"/>
                        <wps:cNvCnPr>
                          <a:cxnSpLocks noChangeShapeType="1"/>
                        </wps:cNvCnPr>
                        <wps:spPr bwMode="auto">
                          <a:xfrm flipH="1">
                            <a:off x="12759" y="33386"/>
                            <a:ext cx="0" cy="5905"/>
                          </a:xfrm>
                          <a:prstGeom prst="straightConnector1">
                            <a:avLst/>
                          </a:prstGeom>
                          <a:noFill/>
                          <a:ln w="19050">
                            <a:solidFill>
                              <a:srgbClr val="000000"/>
                            </a:solidFill>
                            <a:round/>
                            <a:tailEnd type="arrow" w="med" len="med"/>
                          </a:ln>
                        </wps:spPr>
                        <wps:bodyPr/>
                      </wps:wsp>
                      <wps:wsp>
                        <wps:cNvPr id="22" name="直接箭头连接符 11"/>
                        <wps:cNvCnPr>
                          <a:cxnSpLocks noChangeShapeType="1"/>
                        </wps:cNvCnPr>
                        <wps:spPr bwMode="auto">
                          <a:xfrm>
                            <a:off x="25305" y="14206"/>
                            <a:ext cx="9906" cy="0"/>
                          </a:xfrm>
                          <a:prstGeom prst="straightConnector1">
                            <a:avLst/>
                          </a:prstGeom>
                          <a:noFill/>
                          <a:ln w="19050">
                            <a:solidFill>
                              <a:srgbClr val="000000"/>
                            </a:solidFill>
                            <a:round/>
                            <a:tailEnd type="arrow" w="med" len="med"/>
                          </a:ln>
                        </wps:spPr>
                        <wps:bodyPr/>
                      </wps:wsp>
                      <wps:wsp>
                        <wps:cNvPr id="23" name="矩形 12"/>
                        <wps:cNvSpPr>
                          <a:spLocks noChangeArrowheads="1"/>
                        </wps:cNvSpPr>
                        <wps:spPr bwMode="auto">
                          <a:xfrm>
                            <a:off x="25305" y="10632"/>
                            <a:ext cx="9906" cy="2762"/>
                          </a:xfrm>
                          <a:prstGeom prst="rect">
                            <a:avLst/>
                          </a:prstGeom>
                          <a:solidFill>
                            <a:srgbClr val="FFFFFF"/>
                          </a:solidFill>
                          <a:ln w="25400">
                            <a:solidFill>
                              <a:srgbClr val="FFFFFF"/>
                            </a:solidFill>
                            <a:miter lim="800000"/>
                          </a:ln>
                        </wps:spPr>
                        <wps:txbx>
                          <w:txbxContent>
                            <w:p>
                              <w:pPr>
                                <w:adjustRightInd w:val="0"/>
                                <w:snapToGrid w:val="0"/>
                                <w:ind w:firstLine="0" w:firstLineChars="0"/>
                                <w:jc w:val="center"/>
                                <w:rPr>
                                  <w:rFonts w:ascii="仿宋_GB2312"/>
                                  <w:sz w:val="24"/>
                                  <w:szCs w:val="24"/>
                                </w:rPr>
                              </w:pPr>
                              <w:r>
                                <w:rPr>
                                  <w:rFonts w:hint="eastAsia" w:ascii="仿宋_GB2312"/>
                                  <w:sz w:val="24"/>
                                  <w:szCs w:val="24"/>
                                </w:rPr>
                                <w:t>不符合要求</w:t>
                              </w:r>
                            </w:p>
                          </w:txbxContent>
                        </wps:txbx>
                        <wps:bodyPr rot="0" vert="horz" wrap="square" lIns="91440" tIns="45720" rIns="91440" bIns="45720" anchor="ctr" anchorCtr="0" upright="1">
                          <a:noAutofit/>
                        </wps:bodyPr>
                      </wps:wsp>
                      <wps:wsp>
                        <wps:cNvPr id="24" name="矩形 13"/>
                        <wps:cNvSpPr>
                          <a:spLocks noChangeArrowheads="1"/>
                        </wps:cNvSpPr>
                        <wps:spPr bwMode="auto">
                          <a:xfrm>
                            <a:off x="35300" y="9675"/>
                            <a:ext cx="14668" cy="8573"/>
                          </a:xfrm>
                          <a:prstGeom prst="rect">
                            <a:avLst/>
                          </a:prstGeom>
                          <a:solidFill>
                            <a:srgbClr val="FFFFFF"/>
                          </a:solidFill>
                          <a:ln w="6350">
                            <a:solidFill>
                              <a:srgbClr val="000000"/>
                            </a:solidFill>
                            <a:miter lim="800000"/>
                          </a:ln>
                        </wps:spPr>
                        <wps:txbx>
                          <w:txbxContent>
                            <w:p>
                              <w:pPr>
                                <w:adjustRightInd w:val="0"/>
                                <w:snapToGrid w:val="0"/>
                                <w:ind w:firstLine="0" w:firstLineChars="0"/>
                                <w:jc w:val="center"/>
                                <w:rPr>
                                  <w:rFonts w:ascii="仿宋_GB2312"/>
                                  <w:sz w:val="24"/>
                                  <w:szCs w:val="24"/>
                                </w:rPr>
                              </w:pPr>
                              <w:r>
                                <w:rPr>
                                  <w:rFonts w:hint="eastAsia" w:ascii="仿宋_GB2312"/>
                                  <w:sz w:val="24"/>
                                  <w:szCs w:val="24"/>
                                </w:rPr>
                                <w:t>出具《补正通知书》或《不予受理通知书》并说明理由</w:t>
                              </w:r>
                            </w:p>
                          </w:txbxContent>
                        </wps:txbx>
                        <wps:bodyPr rot="0" vert="horz" wrap="square" lIns="91440" tIns="45720" rIns="91440" bIns="45720" anchor="ctr" anchorCtr="0" upright="1">
                          <a:noAutofit/>
                        </wps:bodyPr>
                      </wps:wsp>
                      <wps:wsp>
                        <wps:cNvPr id="25" name="流程图: 可选过程 14"/>
                        <wps:cNvSpPr>
                          <a:spLocks noChangeArrowheads="1"/>
                        </wps:cNvSpPr>
                        <wps:spPr bwMode="auto">
                          <a:xfrm>
                            <a:off x="5209" y="39599"/>
                            <a:ext cx="15050" cy="5317"/>
                          </a:xfrm>
                          <a:prstGeom prst="flowChartAlternateProcess">
                            <a:avLst/>
                          </a:prstGeom>
                          <a:solidFill>
                            <a:srgbClr val="FFFFFF"/>
                          </a:solidFill>
                          <a:ln w="6350">
                            <a:solidFill>
                              <a:srgbClr val="000000"/>
                            </a:solidFill>
                            <a:miter lim="800000"/>
                          </a:ln>
                        </wps:spPr>
                        <wps:txbx>
                          <w:txbxContent>
                            <w:p>
                              <w:pPr>
                                <w:adjustRightInd w:val="0"/>
                                <w:snapToGrid w:val="0"/>
                                <w:spacing w:line="240" w:lineRule="auto"/>
                                <w:ind w:firstLine="0" w:firstLineChars="0"/>
                                <w:jc w:val="center"/>
                                <w:rPr>
                                  <w:rFonts w:ascii="仿宋_GB2312"/>
                                  <w:sz w:val="24"/>
                                  <w:szCs w:val="24"/>
                                </w:rPr>
                              </w:pPr>
                              <w:r>
                                <w:rPr>
                                  <w:rFonts w:hint="eastAsia" w:ascii="仿宋_GB2312"/>
                                  <w:sz w:val="24"/>
                                  <w:szCs w:val="24"/>
                                </w:rPr>
                                <w:t>国家局药审</w:t>
                              </w:r>
                            </w:p>
                            <w:p>
                              <w:pPr>
                                <w:adjustRightInd w:val="0"/>
                                <w:snapToGrid w:val="0"/>
                                <w:spacing w:line="240" w:lineRule="auto"/>
                                <w:ind w:firstLine="0" w:firstLineChars="0"/>
                                <w:jc w:val="center"/>
                                <w:rPr>
                                  <w:rFonts w:ascii="仿宋_GB2312"/>
                                  <w:sz w:val="24"/>
                                  <w:szCs w:val="24"/>
                                </w:rPr>
                              </w:pPr>
                              <w:r>
                                <w:rPr>
                                  <w:rFonts w:hint="eastAsia" w:ascii="仿宋_GB2312"/>
                                  <w:sz w:val="24"/>
                                  <w:szCs w:val="24"/>
                                </w:rPr>
                                <w:t>中心技术审评</w:t>
                              </w:r>
                            </w:p>
                          </w:txbxContent>
                        </wps:txbx>
                        <wps:bodyPr rot="0" vert="horz" wrap="square" lIns="91440" tIns="45720" rIns="91440" bIns="45720" anchor="ctr" anchorCtr="0" upright="1">
                          <a:noAutofit/>
                        </wps:bodyPr>
                      </wps:wsp>
                      <wps:wsp>
                        <wps:cNvPr id="26" name="直接箭头连接符 9"/>
                        <wps:cNvCnPr>
                          <a:cxnSpLocks noChangeShapeType="1"/>
                        </wps:cNvCnPr>
                        <wps:spPr bwMode="auto">
                          <a:xfrm>
                            <a:off x="12759" y="19563"/>
                            <a:ext cx="0" cy="5055"/>
                          </a:xfrm>
                          <a:prstGeom prst="straightConnector1">
                            <a:avLst/>
                          </a:prstGeom>
                          <a:noFill/>
                          <a:ln w="19050">
                            <a:solidFill>
                              <a:srgbClr val="000000"/>
                            </a:solidFill>
                            <a:round/>
                            <a:tailEnd type="arrow" w="med" len="med"/>
                          </a:ln>
                        </wps:spPr>
                        <wps:bodyPr/>
                      </wps:wsp>
                    </wpg:wgp>
                  </a:graphicData>
                </a:graphic>
              </wp:anchor>
            </w:drawing>
          </mc:Choice>
          <mc:Fallback>
            <w:pict>
              <v:group id="_x0000_s1026" o:spid="_x0000_s1026" o:spt="203" style="position:absolute;left:0pt;margin-left:2.95pt;margin-top:6.4pt;height:392.1pt;width:412.8pt;z-index:251659264;mso-width-relative:page;mso-height-relative:page;" coordsize="49968,44916" o:gfxdata="UEsDBAoAAAAAAIdO4kAAAAAAAAAAAAAAAAAEAAAAZHJzL1BLAwQUAAAACACHTuJAii6wdNkAAAAI&#10;AQAADwAAAGRycy9kb3ducmV2LnhtbE2PwW7CMBBE75X6D9ZW6q3YAaVAiIMq1PaEKhUqVdxMvCQR&#10;8TqKTQJ/3+2pPe7MaPZNvr66VgzYh8aThmSiQCCV3jZUafjavz0tQIRoyJrWE2q4YYB1cX+Xm8z6&#10;kT5x2MVKcAmFzGioY+wyKUNZozNh4jsk9k6+dyby2VfS9mbkctfKqVLP0pmG+ENtOtzUWJ53F6fh&#10;fTTjyyx5Hbbn0+Z22Kcf39sEtX58SNQKRMRr/AvDLz6jQ8FMR38hG0SrIV1ykOUpD2B7MUtSEEcN&#10;8+VcgSxy+X9A8QNQSwMEFAAAAAgAh07iQKiSQVcLBQAAxR0AAA4AAABkcnMvZTJvRG9jLnhtbO1Z&#10;zW7kRBC+I/EOLd/J+N9jK84qSjYBaYFIWR6gxz8zFna36XbiCadFQvwICThxWQkkBAgkFg4sJwT7&#10;NNksb0F12Z5xJpks7CoTKUwOE7e7Xa6u/vqr6s+bd6ZFTo4TITPOQs3Y0DWSsIjHGRuH2jv3914b&#10;akRWlMU05ywJtZNEane2Xn1lsy6DxOQTnseJIGCEyaAuQ21SVWUwGMhokhRUbvAyYdCZclHQCppi&#10;PIgFrcF6kQ9MXXcHNRdxKXiUSAl3d5tObQvtp2kSVW+nqUwqkoca+Fbhr8DfkfodbG3SYCxoOcmi&#10;1g36Al4UNGPw0pmpXVpRciSyC6aKLBJc8rTaiHgx4GmaRQnOAWZj6Auz2Rf8qMS5jIN6XM7CBKFd&#10;iNMLm43eOj4QJIth7WyNMFrAGp398eHpl58QuAHRqctxAIP2RXlYHoj2xrhpqQlPU1Go/zAVMsW4&#10;nszimkwrEsFNx7RNx4XwR9Bn+57veWibBtEElufCc9Hkbvuk7fsuIAifs33DVR4NupcOlG8zV+oS&#10;ECTnQZIvF6TDCS0TjL1U8++C5MyC9M1Pp39+S4wmRjhGBUiFQpb3ePSuJIzvTCgbJ9tC8HqS0Bhc&#10;wvHgeO8B1ZDwKBnVb/IY4k+PKo5gWoitq6sYXgyvYfoOLJ4KkmPY1rkY0aAUstpPeEHURagJ2BJo&#10;nB7fk1UTzm4IOs/zLN7L8hwbYjzayQU5prB99vCvtS77w3JG6lBzLUdHy+f6ZN+Ejn+XmSiyCngg&#10;z4pQG/YH5QwWvIuQQqMMquloijiUwYjHJxA4wZt9DTwEFxMu3tdIDXs61OR7R1QkGsnfYBB837Bt&#10;RQLYsB3PhIbo94z6PZRFYCrUokpopGnsVA11HJUiG0/gXQZOmPFtWLI0w3AqFxu/Ws8BlI3j149O&#10;t0Pn098/OPvxs9OHfwXk9KPfzh59RRAWyjcA83UDtUHpcGg6aqlp0PGA6VgWuKiAauieNbwaqWnO&#10;a9hAotpNokzllzVsAcO3EbZeB9uzh4+ffv792S+PTr97/OzJ1+r65x8IoqiF7g5rODaassMFmkXG&#10;vn9SAoOeY9nmEfX8cpYlaZ6Vr3f7uc1lhuk6JhKuY+r+eSgDxBWMraGBNcQsJ13gW1kJqrhihzMG&#10;1MtFQxlL2JdxRb24aRpSNXz9JVgV6gcWo7WKZvldFpMK40NVRgKODLUiiYEdE6jd1BUMhZlcwrkN&#10;oaluFccVMhok/7YoafKtp3xcEY0Zpuf4uP6G77hIoHMu8x1gN8SA6TV9yzFwfTnXdGz9eUl3ed5e&#10;J93/VDcvKQkBIucgimltRRCFkgt2CBCRaTsust4coYbv+uCboqmh6yCJ3gRE12XhTZeFqsxtEXpp&#10;fsXU1gJ2tfm141fLsoZ4tpujt02wDuS/q8vEdYL9d2LC5exlQoFzFTaM/gH3msChjghtyQUnBFhv&#10;RWiGbeoLkPB9uIN8tq65Gr3sWjQO05pBotU4zBUWXT0E6K6Fb56TwhwBUHRh301ktHXRdeNKhzkX&#10;K1uMrlLfsIClGo3Dd70FjcOw3U6xHDreWoz734px6njYZNa+GPfFr38/+PTZk49BnZsJ7CvR5FDC&#10;UInV8h04FqAo0OlyhqNEBsysjmXgEXs5r85kue0cJFtGq+Sg+fyyludupzxnzlTly+W5FRwfehXi&#10;laJMB2L9ecfdW3towG9i8K0Qhbz2u6b6GNlvo4o3//q69Q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9BwAAW0NvbnRlbnRfVHlwZXNdLnhtbFBL&#10;AQIUAAoAAAAAAIdO4kAAAAAAAAAAAAAAAAAGAAAAAAAAAAAAEAAAAF8GAABfcmVscy9QSwECFAAU&#10;AAAACACHTuJAihRmPNEAAACUAQAACwAAAAAAAAABACAAAACDBgAAX3JlbHMvLnJlbHNQSwECFAAK&#10;AAAAAACHTuJAAAAAAAAAAAAAAAAABAAAAAAAAAAAABAAAAAAAAAAZHJzL1BLAQIUABQAAAAIAIdO&#10;4kCKLrB02QAAAAgBAAAPAAAAAAAAAAEAIAAAACIAAABkcnMvZG93bnJldi54bWxQSwECFAAUAAAA&#10;CACHTuJAqJJBVwsFAADFHQAADgAAAAAAAAABACAAAAAoAQAAZHJzL2Uyb0RvYy54bWxQSwUGAAAA&#10;AAYABgBZAQAApQgAAAAA&#10;">
                <o:lock v:ext="edit" aspectratio="f"/>
                <v:rect id="矩形 1" o:spid="_x0000_s1026" o:spt="1" style="position:absolute;left:6060;top:0;height:5143;width:12954;v-text-anchor:middle;" fillcolor="#FFFFFF" filled="t" stroked="t" coordsize="21600,21600" o:gfxdata="UEsDBAoAAAAAAIdO4kAAAAAAAAAAAAAAAAAEAAAAZHJzL1BLAwQUAAAACACHTuJAG9fbD7wAAADb&#10;AAAADwAAAGRycy9kb3ducmV2LnhtbEVPS2vCQBC+F/oflin0VjcRWiW6ChUK9lQbBa9jdswGs7Mx&#10;u+bhr+8WCr3Nx/ec5Xqwteio9ZVjBekkAUFcOF1xqeCw/3iZg/ABWWPtmBSM5GG9enxYYqZdz9/U&#10;5aEUMYR9hgpMCE0mpS8MWfQT1xBH7uxaiyHCtpS6xT6G21pOk+RNWqw4NhhsaGOouOQ3q4BOZnYd&#10;d+m12G4+v+p8dry/+6NSz09psgARaAj/4j/3Vsf5r/D7SzxArn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vX2w+8AAAA&#10;2wAAAA8AAAAAAAAAAQAgAAAAIgAAAGRycy9kb3ducmV2LnhtbFBLAQIUABQAAAAIAIdO4kAzLwWe&#10;OwAAADkAAAAQAAAAAAAAAAEAIAAAAAsBAABkcnMvc2hhcGV4bWwueG1sUEsFBgAAAAAGAAYAWwEA&#10;ALUDAAAAAA==&#10;">
                  <v:fill on="t" focussize="0,0"/>
                  <v:stroke weight="0.5pt" color="#000000" miterlimit="8" joinstyle="miter"/>
                  <v:imagedata o:title=""/>
                  <o:lock v:ext="edit" aspectratio="f"/>
                  <v:textbox>
                    <w:txbxContent>
                      <w:p>
                        <w:pPr>
                          <w:ind w:firstLine="0" w:firstLineChars="0"/>
                          <w:jc w:val="center"/>
                          <w:rPr>
                            <w:rFonts w:ascii="仿宋_GB2312"/>
                            <w:color w:val="000000"/>
                            <w:sz w:val="24"/>
                            <w:szCs w:val="24"/>
                          </w:rPr>
                        </w:pPr>
                        <w:r>
                          <w:rPr>
                            <w:rFonts w:hint="eastAsia" w:ascii="仿宋_GB2312"/>
                            <w:color w:val="000000"/>
                            <w:sz w:val="24"/>
                            <w:szCs w:val="24"/>
                          </w:rPr>
                          <w:t>资料申报</w:t>
                        </w:r>
                      </w:p>
                    </w:txbxContent>
                  </v:textbox>
                </v:rect>
                <v:shape id="流程图: 决策 3" o:spid="_x0000_s1026" o:spt="110" type="#_x0000_t110" style="position:absolute;left:0;top:8825;height:10738;width:25336;v-text-anchor:middle;" fillcolor="#FFFFFF" filled="t" stroked="t" coordsize="21600,21600" o:gfxdata="UEsDBAoAAAAAAIdO4kAAAAAAAAAAAAAAAAAEAAAAZHJzL1BLAwQUAAAACACHTuJABQ26A7sAAADb&#10;AAAADwAAAGRycy9kb3ducmV2LnhtbEVPS4vCMBC+C/6HMIIX0VR3UalGDz7Am6wPeh2asS02k9rE&#10;6u6v3wiCt/n4njNfPk0pGqpdYVnBcBCBIE6tLjhTcDpu+1MQziNrLC2Tgl9ysFy0W3OMtX3wDzUH&#10;n4kQwi5GBbn3VSylS3My6Aa2Ig7cxdYGfYB1JnWNjxBuSjmKorE0WHBoyLGiVU7p9XA3Cm7JMTl/&#10;FX/fI7PbXJNtte+tJ41S3c4wmoHw9PQf8du902H+GF6/hAPk4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Q26A7sAAADb&#10;AAAADwAAAAAAAAABACAAAAAiAAAAZHJzL2Rvd25yZXYueG1sUEsBAhQAFAAAAAgAh07iQDMvBZ47&#10;AAAAOQAAABAAAAAAAAAAAQAgAAAACgEAAGRycy9zaGFwZXhtbC54bWxQSwUGAAAAAAYABgBbAQAA&#10;tAMAAAAA&#10;">
                  <v:fill on="t" focussize="0,0"/>
                  <v:stroke weight="0.5pt" color="#000000" miterlimit="8" joinstyle="miter"/>
                  <v:imagedata o:title=""/>
                  <o:lock v:ext="edit" aspectratio="f"/>
                  <v:textbox>
                    <w:txbxContent>
                      <w:p>
                        <w:pPr>
                          <w:spacing w:line="260" w:lineRule="exact"/>
                          <w:ind w:firstLine="0" w:firstLineChars="0"/>
                          <w:jc w:val="center"/>
                          <w:rPr>
                            <w:rFonts w:ascii="仿宋_GB2312"/>
                            <w:sz w:val="24"/>
                            <w:szCs w:val="24"/>
                          </w:rPr>
                        </w:pPr>
                        <w:r>
                          <w:rPr>
                            <w:rFonts w:hint="eastAsia" w:ascii="仿宋_GB2312"/>
                            <w:sz w:val="24"/>
                            <w:szCs w:val="24"/>
                          </w:rPr>
                          <w:t>国家局药审中心</w:t>
                        </w:r>
                      </w:p>
                      <w:p>
                        <w:pPr>
                          <w:spacing w:line="260" w:lineRule="exact"/>
                          <w:ind w:firstLine="0" w:firstLineChars="0"/>
                          <w:jc w:val="center"/>
                          <w:rPr>
                            <w:rFonts w:ascii="仿宋_GB2312"/>
                            <w:sz w:val="24"/>
                            <w:szCs w:val="24"/>
                          </w:rPr>
                        </w:pPr>
                        <w:r>
                          <w:rPr>
                            <w:rFonts w:hint="eastAsia" w:ascii="仿宋_GB2312"/>
                            <w:snapToGrid w:val="0"/>
                            <w:color w:val="000000"/>
                            <w:sz w:val="24"/>
                            <w:szCs w:val="24"/>
                          </w:rPr>
                          <w:t>签收资料并进行形式审查</w:t>
                        </w:r>
                      </w:p>
                    </w:txbxContent>
                  </v:textbox>
                </v:shape>
                <v:shape id="直接箭头连接符 5" o:spid="_x0000_s1026" o:spt="32" type="#_x0000_t32" style="position:absolute;left:12652;top:5209;flip:x;height:3810;width:0;" filled="f" stroked="t" coordsize="21600,21600" o:gfxdata="UEsDBAoAAAAAAIdO4kAAAAAAAAAAAAAAAAAEAAAAZHJzL1BLAwQUAAAACACHTuJAeI8X1roAAADb&#10;AAAADwAAAGRycy9kb3ducmV2LnhtbEVP32vCMBB+F/Y/hBv4IprWgRvVKENQfBtTx16P5NYWm0tJ&#10;Ylv/eyMIe7uP7+etNoNtREc+1I4V5LMMBLF2puZSwfm0m36ACBHZYOOYFNwowGb9MlphYVzP39Qd&#10;YylSCIcCFVQxtoWUQVdkMcxcS5y4P+ctxgR9KY3HPoXbRs6zbCEt1pwaKmxpW5G+HK9WwWer34Zu&#10;l/u97Pf6svid+J+vq1Lj1zxbgog0xH/x030waf47PH5JB8j1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4jxfWugAAANsA&#10;AAAPAAAAAAAAAAEAIAAAACIAAABkcnMvZG93bnJldi54bWxQSwECFAAUAAAACACHTuJAMy8FnjsA&#10;AAA5AAAAEAAAAAAAAAABACAAAAAJAQAAZHJzL3NoYXBleG1sLnhtbFBLBQYAAAAABgAGAFsBAACz&#10;AwAAAAA=&#10;">
                  <v:fill on="f" focussize="0,0"/>
                  <v:stroke weight="1.5pt" color="#000000" joinstyle="round" endarrow="open"/>
                  <v:imagedata o:title=""/>
                  <o:lock v:ext="edit" aspectratio="f"/>
                </v:shape>
                <v:rect id="矩形 7" o:spid="_x0000_s1026" o:spt="1" style="position:absolute;left:12759;top:19563;height:2763;width:9525;v-text-anchor:middle;" fillcolor="#FFFFFF" filled="t" stroked="t" coordsize="21600,21600" o:gfxdata="UEsDBAoAAAAAAIdO4kAAAAAAAAAAAAAAAAAEAAAAZHJzL1BLAwQUAAAACACHTuJAEB8YX74AAADb&#10;AAAADwAAAGRycy9kb3ducmV2LnhtbEWPQWvCQBCF70L/wzIFb7qxSJHU1YMgpKdqFOtxyE43odnZ&#10;kN2a6K/vHAq9zfDevPfNejv6Vt2oj01gA4t5Boq4CrZhZ+B82s9WoGJCttgGJgN3irDdPE3WmNsw&#10;8JFuZXJKQjjmaKBOqcu1jlVNHuM8dMSifYXeY5K1d9r2OEi4b/VLlr1qjw1LQ40d7Wqqvssfb+Bw&#10;d+fH2H2+u+oDh0txuJbFdWnM9HmRvYFKNKZ/8991YQVfYOUXGUBv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B8YX74A&#10;AADbAAAADwAAAAAAAAABACAAAAAiAAAAZHJzL2Rvd25yZXYueG1sUEsBAhQAFAAAAAgAh07iQDMv&#10;BZ47AAAAOQAAABAAAAAAAAAAAQAgAAAADQEAAGRycy9zaGFwZXhtbC54bWxQSwUGAAAAAAYABgBb&#10;AQAAtwMAAAAA&#10;">
                  <v:fill on="t" focussize="0,0"/>
                  <v:stroke weight="2pt" color="#FFFFFF" miterlimit="8" joinstyle="miter"/>
                  <v:imagedata o:title=""/>
                  <o:lock v:ext="edit" aspectratio="f"/>
                  <v:textbox>
                    <w:txbxContent>
                      <w:p>
                        <w:pPr>
                          <w:adjustRightInd w:val="0"/>
                          <w:snapToGrid w:val="0"/>
                          <w:ind w:firstLine="0" w:firstLineChars="0"/>
                          <w:jc w:val="center"/>
                          <w:rPr>
                            <w:rFonts w:ascii="仿宋_GB2312"/>
                            <w:sz w:val="24"/>
                            <w:szCs w:val="24"/>
                          </w:rPr>
                        </w:pPr>
                        <w:r>
                          <w:rPr>
                            <w:rFonts w:hint="eastAsia" w:ascii="仿宋_GB2312"/>
                            <w:sz w:val="24"/>
                            <w:szCs w:val="24"/>
                          </w:rPr>
                          <w:t>符合要求</w:t>
                        </w:r>
                      </w:p>
                    </w:txbxContent>
                  </v:textbox>
                </v:rect>
                <v:rect id="矩形 8" o:spid="_x0000_s1026" o:spt="1" style="position:absolute;left:3508;top:24561;height:8655;width:19699;v-text-anchor:middle;" fillcolor="#FFFFFF" filled="t" stroked="t" coordsize="21600,21600" o:gfxdata="UEsDBAoAAAAAAIdO4kAAAAAAAAAAAAAAAAAEAAAAZHJzL1BLAwQUAAAACACHTuJAmprRCrwAAADb&#10;AAAADwAAAGRycy9kb3ducmV2LnhtbEVPS2vCQBC+F/oflin0VjfxUGt0FSoU7Kk2Cl7H7JgNZmdj&#10;ds3DX98tFHqbj+85y/Vga9FR6yvHCtJJAoK4cLriUsFh//HyBsIHZI21Y1Iwkof16vFhiZl2PX9T&#10;l4dSxBD2GSowITSZlL4wZNFPXEMcubNrLYYI21LqFvsYbms5TZJXabHi2GCwoY2h4pLfrAI6mdl1&#10;3KXXYrv5/Krz2fH+7o9KPT+lyQJEoCH8i//cWx3nz+H3l3i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qa0Qq8AAAA&#10;2wAAAA8AAAAAAAAAAQAgAAAAIgAAAGRycy9kb3ducmV2LnhtbFBLAQIUABQAAAAIAIdO4kAzLwWe&#10;OwAAADkAAAAQAAAAAAAAAAEAIAAAAAsBAABkcnMvc2hhcGV4bWwueG1sUEsFBgAAAAAGAAYAWwEA&#10;ALUDAAAAAA==&#10;">
                  <v:fill on="t" focussize="0,0"/>
                  <v:stroke weight="0.5pt" color="#000000" miterlimit="8" joinstyle="miter"/>
                  <v:imagedata o:title=""/>
                  <o:lock v:ext="edit" aspectratio="f"/>
                  <v:textbox>
                    <w:txbxContent>
                      <w:p>
                        <w:pPr>
                          <w:adjustRightInd w:val="0"/>
                          <w:snapToGrid w:val="0"/>
                          <w:ind w:firstLine="0" w:firstLineChars="0"/>
                          <w:jc w:val="center"/>
                          <w:rPr>
                            <w:rFonts w:ascii="仿宋_GB2312"/>
                            <w:sz w:val="24"/>
                            <w:szCs w:val="24"/>
                          </w:rPr>
                        </w:pPr>
                        <w:r>
                          <w:rPr>
                            <w:rFonts w:hint="eastAsia" w:ascii="仿宋_GB2312"/>
                            <w:sz w:val="24"/>
                            <w:szCs w:val="24"/>
                          </w:rPr>
                          <w:t>国家局药审中心出具《受理通知书》、《缴费通知书》等</w:t>
                        </w:r>
                      </w:p>
                    </w:txbxContent>
                  </v:textbox>
                </v:rect>
                <v:shape id="直接箭头连接符 9" o:spid="_x0000_s1026" o:spt="32" type="#_x0000_t32" style="position:absolute;left:12759;top:33386;flip:x;height:5905;width:0;" filled="f" stroked="t" coordsize="21600,21600" o:gfxdata="UEsDBAoAAAAAAIdO4kAAAAAAAAAAAAAAAAAEAAAAZHJzL1BLAwQUAAAACACHTuJAOQpFH7kAAADb&#10;AAAADwAAAGRycy9kb3ducmV2LnhtbEVPTYvCMBC9L/gfwgh7WTStgkg1igjK3hZdxeuQjG2xmZQk&#10;tvXfm8PCHh/ve70dbCM68qF2rCCfZiCItTM1lwouv4fJEkSIyAYbx6TgRQG2m9HHGgvjej5Rd46l&#10;SCEcClRQxdgWUgZdkcUwdS1x4u7OW4wJ+lIaj30Kt42cZdlCWqw5NVTY0r4i/Tg/rYJdq+dDd8j9&#10;UfZH/Vjcvvz156nU5zjPViAiDfFf/Of+NgpmaX36kn6A3L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kKRR+5AAAA2wAA&#10;AA8AAAAAAAAAAQAgAAAAIgAAAGRycy9kb3ducmV2LnhtbFBLAQIUABQAAAAIAIdO4kAzLwWeOwAA&#10;ADkAAAAQAAAAAAAAAAEAIAAAAAgBAABkcnMvc2hhcGV4bWwueG1sUEsFBgAAAAAGAAYAWwEAALID&#10;AAAAAA==&#10;">
                  <v:fill on="f" focussize="0,0"/>
                  <v:stroke weight="1.5pt" color="#000000" joinstyle="round" endarrow="open"/>
                  <v:imagedata o:title=""/>
                  <o:lock v:ext="edit" aspectratio="f"/>
                </v:shape>
                <v:shape id="直接箭头连接符 11" o:spid="_x0000_s1026" o:spt="32" type="#_x0000_t32" style="position:absolute;left:25305;top:14206;height:0;width:9906;" filled="f" stroked="t" coordsize="21600,21600" o:gfxdata="UEsDBAoAAAAAAIdO4kAAAAAAAAAAAAAAAAAEAAAAZHJzL1BLAwQUAAAACACHTuJAj2uk6L0AAADb&#10;AAAADwAAAGRycy9kb3ducmV2LnhtbEWP3YrCMBSE7xd8h3AEbxZNbWHRahRU3PViFfx5gGNzbIvN&#10;SWli1bc3wsJeDjPzDTOdP0wlWmpcaVnBcBCBIM6sLjlXcDqu+yMQziNrrCyTgic5mM86H1NMtb3z&#10;ntqDz0WAsEtRQeF9nUrpsoIMuoGtiYN3sY1BH2STS93gPcBNJeMo+pIGSw4LBda0LCi7Hm5GwT5p&#10;ze78m42TbfJpxsvVz+Jbs1K97jCagPD08P/hv/ZGK4hjeH8JP0DOX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a6TovQAA&#10;ANsAAAAPAAAAAAAAAAEAIAAAACIAAABkcnMvZG93bnJldi54bWxQSwECFAAUAAAACACHTuJAMy8F&#10;njsAAAA5AAAAEAAAAAAAAAABACAAAAAMAQAAZHJzL3NoYXBleG1sLnhtbFBLBQYAAAAABgAGAFsB&#10;AAC2AwAAAAA=&#10;">
                  <v:fill on="f" focussize="0,0"/>
                  <v:stroke weight="1.5pt" color="#000000" joinstyle="round" endarrow="open"/>
                  <v:imagedata o:title=""/>
                  <o:lock v:ext="edit" aspectratio="f"/>
                </v:shape>
                <v:rect id="矩形 12" o:spid="_x0000_s1026" o:spt="1" style="position:absolute;left:25305;top:10632;height:2762;width:9906;v-text-anchor:middle;" fillcolor="#FFFFFF" filled="t" stroked="t" coordsize="21600,21600" o:gfxdata="UEsDBAoAAAAAAIdO4kAAAAAAAAAAAAAAAAAEAAAAZHJzL1BLAwQUAAAACACHTuJA0NdAk70AAADb&#10;AAAADwAAAGRycy9kb3ducmV2LnhtbEWPQWvCQBSE74L/YXmCN92oRUrq6kEQ4kkbpfX4yL5uQrNv&#10;Q3Y10V/fLQgeh5n5hllteluLG7W+cqxgNk1AEBdOV2wUnE+7yTsIH5A11o5JwZ08bNbDwQpT7Tr+&#10;pFsejIgQ9ikqKENoUil9UZJFP3UNcfR+XGsxRNkaqVvsItzWcp4kS2mx4rhQYkPbkorf/GoVHO/m&#10;/Oib770pDth9ZcdLnl3elBqPZskHiEB9eIWf7UwrmC/g/0v8AXL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10CTvQAA&#10;ANsAAAAPAAAAAAAAAAEAIAAAACIAAABkcnMvZG93bnJldi54bWxQSwECFAAUAAAACACHTuJAMy8F&#10;njsAAAA5AAAAEAAAAAAAAAABACAAAAAMAQAAZHJzL3NoYXBleG1sLnhtbFBLBQYAAAAABgAGAFsB&#10;AAC2AwAAAAA=&#10;">
                  <v:fill on="t" focussize="0,0"/>
                  <v:stroke weight="2pt" color="#FFFFFF" miterlimit="8" joinstyle="miter"/>
                  <v:imagedata o:title=""/>
                  <o:lock v:ext="edit" aspectratio="f"/>
                  <v:textbox>
                    <w:txbxContent>
                      <w:p>
                        <w:pPr>
                          <w:adjustRightInd w:val="0"/>
                          <w:snapToGrid w:val="0"/>
                          <w:ind w:firstLine="0" w:firstLineChars="0"/>
                          <w:jc w:val="center"/>
                          <w:rPr>
                            <w:rFonts w:ascii="仿宋_GB2312"/>
                            <w:sz w:val="24"/>
                            <w:szCs w:val="24"/>
                          </w:rPr>
                        </w:pPr>
                        <w:r>
                          <w:rPr>
                            <w:rFonts w:hint="eastAsia" w:ascii="仿宋_GB2312"/>
                            <w:sz w:val="24"/>
                            <w:szCs w:val="24"/>
                          </w:rPr>
                          <w:t>不符合要求</w:t>
                        </w:r>
                      </w:p>
                    </w:txbxContent>
                  </v:textbox>
                </v:rect>
                <v:rect id="矩形 13" o:spid="_x0000_s1026" o:spt="1" style="position:absolute;left:35300;top:9675;height:8573;width:14668;v-text-anchor:middle;" fillcolor="#FFFFFF" filled="t" stroked="t" coordsize="21600,21600" o:gfxdata="UEsDBAoAAAAAAIdO4kAAAAAAAAAAAAAAAAAEAAAAZHJzL1BLAwQUAAAACACHTuJAuve0KbwAAADb&#10;AAAADwAAAGRycy9kb3ducmV2LnhtbEWPT4vCMBTE78J+h/AWvGlaWXSpRkFhwT2pVfD6tnk2xeal&#10;Nln/fXojCB6HmfkNM5ldbS3O1PrKsYK0n4AgLpyuuFSw2/70vkH4gKyxdkwKbuRhNv3oTDDT7sIb&#10;OuehFBHCPkMFJoQmk9IXhiz6vmuIo3dwrcUQZVtK3eIlwm0tB0kylBYrjgsGG1oYKo75v1VAf2Z0&#10;uq3TU7Fc/K7qfLS/z/1eqe5nmoxBBLqGd/jVXmoFgy94fok/QE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r3tCm8AAAA&#10;2wAAAA8AAAAAAAAAAQAgAAAAIgAAAGRycy9kb3ducmV2LnhtbFBLAQIUABQAAAAIAIdO4kAzLwWe&#10;OwAAADkAAAAQAAAAAAAAAAEAIAAAAAsBAABkcnMvc2hhcGV4bWwueG1sUEsFBgAAAAAGAAYAWwEA&#10;ALUDAAAAAA==&#10;">
                  <v:fill on="t" focussize="0,0"/>
                  <v:stroke weight="0.5pt" color="#000000" miterlimit="8" joinstyle="miter"/>
                  <v:imagedata o:title=""/>
                  <o:lock v:ext="edit" aspectratio="f"/>
                  <v:textbox>
                    <w:txbxContent>
                      <w:p>
                        <w:pPr>
                          <w:adjustRightInd w:val="0"/>
                          <w:snapToGrid w:val="0"/>
                          <w:ind w:firstLine="0" w:firstLineChars="0"/>
                          <w:jc w:val="center"/>
                          <w:rPr>
                            <w:rFonts w:ascii="仿宋_GB2312"/>
                            <w:sz w:val="24"/>
                            <w:szCs w:val="24"/>
                          </w:rPr>
                        </w:pPr>
                        <w:r>
                          <w:rPr>
                            <w:rFonts w:hint="eastAsia" w:ascii="仿宋_GB2312"/>
                            <w:sz w:val="24"/>
                            <w:szCs w:val="24"/>
                          </w:rPr>
                          <w:t>出具《补正通知书》或《不予受理通知书》并说明理由</w:t>
                        </w:r>
                      </w:p>
                    </w:txbxContent>
                  </v:textbox>
                </v:rect>
                <v:shape id="流程图: 可选过程 14" o:spid="_x0000_s1026" o:spt="176" type="#_x0000_t176" style="position:absolute;left:5209;top:39599;height:5317;width:15050;v-text-anchor:middle;" fillcolor="#FFFFFF" filled="t" stroked="t" coordsize="21600,21600" o:gfxdata="UEsDBAoAAAAAAIdO4kAAAAAAAAAAAAAAAAAEAAAAZHJzL1BLAwQUAAAACACHTuJArWTZ0r4AAADb&#10;AAAADwAAAGRycy9kb3ducmV2LnhtbEWPwWrDMBBE74X+g9hCL6WRY3AJjuVACzVuIIcmufS2WBvb&#10;1FoZSYndv68CgRyHmXnDFJvZDOJCzveWFSwXCQjixuqeWwXHw+frCoQPyBoHy6TgjzxsyseHAnNt&#10;J/6myz60IkLY56igC2HMpfRNRwb9wo7E0TtZZzBE6VqpHU4RbgaZJsmbNNhzXOhwpI+Omt/92Sh4&#10;rw6ZbFdOfr1QWv3UO12dtzulnp+WyRpEoDncw7d2rRWkGVy/xB8gy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WTZ0r4A&#10;AADbAAAADwAAAAAAAAABACAAAAAiAAAAZHJzL2Rvd25yZXYueG1sUEsBAhQAFAAAAAgAh07iQDMv&#10;BZ47AAAAOQAAABAAAAAAAAAAAQAgAAAADQEAAGRycy9zaGFwZXhtbC54bWxQSwUGAAAAAAYABgBb&#10;AQAAtwMAAAAA&#10;">
                  <v:fill on="t" focussize="0,0"/>
                  <v:stroke weight="0.5pt" color="#000000" miterlimit="8" joinstyle="miter"/>
                  <v:imagedata o:title=""/>
                  <o:lock v:ext="edit" aspectratio="f"/>
                  <v:textbox>
                    <w:txbxContent>
                      <w:p>
                        <w:pPr>
                          <w:adjustRightInd w:val="0"/>
                          <w:snapToGrid w:val="0"/>
                          <w:spacing w:line="240" w:lineRule="auto"/>
                          <w:ind w:firstLine="0" w:firstLineChars="0"/>
                          <w:jc w:val="center"/>
                          <w:rPr>
                            <w:rFonts w:ascii="仿宋_GB2312"/>
                            <w:sz w:val="24"/>
                            <w:szCs w:val="24"/>
                          </w:rPr>
                        </w:pPr>
                        <w:r>
                          <w:rPr>
                            <w:rFonts w:hint="eastAsia" w:ascii="仿宋_GB2312"/>
                            <w:sz w:val="24"/>
                            <w:szCs w:val="24"/>
                          </w:rPr>
                          <w:t>国家局药审</w:t>
                        </w:r>
                      </w:p>
                      <w:p>
                        <w:pPr>
                          <w:adjustRightInd w:val="0"/>
                          <w:snapToGrid w:val="0"/>
                          <w:spacing w:line="240" w:lineRule="auto"/>
                          <w:ind w:firstLine="0" w:firstLineChars="0"/>
                          <w:jc w:val="center"/>
                          <w:rPr>
                            <w:rFonts w:ascii="仿宋_GB2312"/>
                            <w:sz w:val="24"/>
                            <w:szCs w:val="24"/>
                          </w:rPr>
                        </w:pPr>
                        <w:r>
                          <w:rPr>
                            <w:rFonts w:hint="eastAsia" w:ascii="仿宋_GB2312"/>
                            <w:sz w:val="24"/>
                            <w:szCs w:val="24"/>
                          </w:rPr>
                          <w:t>中心技术审评</w:t>
                        </w:r>
                      </w:p>
                    </w:txbxContent>
                  </v:textbox>
                </v:shape>
                <v:shape id="直接箭头连接符 9" o:spid="_x0000_s1026" o:spt="32" type="#_x0000_t32" style="position:absolute;left:12759;top:19563;height:5055;width:0;" filled="f" stroked="t" coordsize="21600,21600" o:gfxdata="UEsDBAoAAAAAAIdO4kAAAAAAAAAAAAAAAAAEAAAAZHJzL1BLAwQUAAAACACHTuJA8FCi678AAADb&#10;AAAADwAAAGRycy9kb3ducmV2LnhtbEWP0WrCQBRE34X+w3ILfZG6MYFQo6ug0toHW4jtB1yzt0lo&#10;9m7IbpP4911B8HGYmTPMajOaRvTUudqygvksAkFcWF1zqeD76/X5BYTzyBoby6TgQg4264fJCjNt&#10;B86pP/lSBAi7DBVU3reZlK6oyKCb2ZY4eD+2M+iD7EqpOxwC3DQyjqJUGqw5LFTY0q6i4vf0ZxTk&#10;SW8+z8dikXwkU7PY7Q/bN81KPT3OoyUIT6O/h2/td60gTuH6JfwAuf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BQouu/&#10;AAAA2wAAAA8AAAAAAAAAAQAgAAAAIgAAAGRycy9kb3ducmV2LnhtbFBLAQIUABQAAAAIAIdO4kAz&#10;LwWeOwAAADkAAAAQAAAAAAAAAAEAIAAAAA4BAABkcnMvc2hhcGV4bWwueG1sUEsFBgAAAAAGAAYA&#10;WwEAALgDAAAAAA==&#10;">
                  <v:fill on="f" focussize="0,0"/>
                  <v:stroke weight="1.5pt" color="#000000" joinstyle="round" endarrow="open"/>
                  <v:imagedata o:title=""/>
                  <o:lock v:ext="edit" aspectratio="f"/>
                </v:shape>
              </v:group>
            </w:pict>
          </mc:Fallback>
        </mc:AlternateContent>
      </w:r>
    </w:p>
    <w:p>
      <w:pPr>
        <w:keepNext w:val="0"/>
        <w:keepLines w:val="0"/>
        <w:pageBreakBefore w:val="0"/>
        <w:kinsoku/>
        <w:wordWrap/>
        <w:overflowPunct w:val="0"/>
        <w:topLinePunct w:val="0"/>
        <w:autoSpaceDE/>
        <w:autoSpaceDN/>
        <w:bidi w:val="0"/>
        <w:spacing w:line="560" w:lineRule="exact"/>
        <w:textAlignment w:val="auto"/>
        <w:rPr>
          <w:rFonts w:ascii="仿宋_GB2312" w:hAnsi="黑体" w:cs="仿宋_GB2312"/>
          <w:color w:val="000000"/>
          <w:sz w:val="30"/>
          <w:szCs w:val="30"/>
        </w:rPr>
      </w:pPr>
    </w:p>
    <w:p>
      <w:pPr>
        <w:keepNext w:val="0"/>
        <w:keepLines w:val="0"/>
        <w:pageBreakBefore w:val="0"/>
        <w:kinsoku/>
        <w:wordWrap/>
        <w:overflowPunct w:val="0"/>
        <w:topLinePunct w:val="0"/>
        <w:autoSpaceDE/>
        <w:autoSpaceDN/>
        <w:bidi w:val="0"/>
        <w:spacing w:line="560" w:lineRule="exact"/>
        <w:textAlignment w:val="auto"/>
        <w:rPr>
          <w:rFonts w:ascii="仿宋_GB2312" w:hAnsi="黑体" w:cs="仿宋_GB2312"/>
          <w:color w:val="000000"/>
          <w:sz w:val="30"/>
          <w:szCs w:val="30"/>
        </w:rPr>
      </w:pPr>
    </w:p>
    <w:p>
      <w:pPr>
        <w:keepNext w:val="0"/>
        <w:keepLines w:val="0"/>
        <w:pageBreakBefore w:val="0"/>
        <w:kinsoku/>
        <w:wordWrap/>
        <w:overflowPunct w:val="0"/>
        <w:topLinePunct w:val="0"/>
        <w:autoSpaceDE/>
        <w:autoSpaceDN/>
        <w:bidi w:val="0"/>
        <w:spacing w:line="560" w:lineRule="exact"/>
        <w:textAlignment w:val="auto"/>
        <w:rPr>
          <w:rFonts w:ascii="仿宋_GB2312" w:hAnsi="黑体" w:cs="仿宋_GB2312"/>
          <w:color w:val="000000"/>
          <w:sz w:val="30"/>
          <w:szCs w:val="30"/>
        </w:rPr>
      </w:pPr>
    </w:p>
    <w:p>
      <w:pPr>
        <w:keepNext w:val="0"/>
        <w:keepLines w:val="0"/>
        <w:pageBreakBefore w:val="0"/>
        <w:kinsoku/>
        <w:wordWrap/>
        <w:overflowPunct w:val="0"/>
        <w:topLinePunct w:val="0"/>
        <w:autoSpaceDE/>
        <w:autoSpaceDN/>
        <w:bidi w:val="0"/>
        <w:spacing w:line="560" w:lineRule="exact"/>
        <w:textAlignment w:val="auto"/>
        <w:rPr>
          <w:rFonts w:ascii="仿宋_GB2312" w:hAnsi="黑体" w:cs="仿宋_GB2312"/>
          <w:color w:val="000000"/>
          <w:sz w:val="30"/>
          <w:szCs w:val="30"/>
        </w:rPr>
      </w:pPr>
    </w:p>
    <w:p>
      <w:pPr>
        <w:keepNext w:val="0"/>
        <w:keepLines w:val="0"/>
        <w:pageBreakBefore w:val="0"/>
        <w:kinsoku/>
        <w:wordWrap/>
        <w:overflowPunct w:val="0"/>
        <w:topLinePunct w:val="0"/>
        <w:autoSpaceDE/>
        <w:autoSpaceDN/>
        <w:bidi w:val="0"/>
        <w:spacing w:line="560" w:lineRule="exact"/>
        <w:ind w:firstLine="640"/>
        <w:textAlignment w:val="auto"/>
      </w:pPr>
    </w:p>
    <w:p>
      <w:pPr>
        <w:keepNext w:val="0"/>
        <w:keepLines w:val="0"/>
        <w:pageBreakBefore w:val="0"/>
        <w:kinsoku/>
        <w:wordWrap/>
        <w:overflowPunct w:val="0"/>
        <w:topLinePunct w:val="0"/>
        <w:autoSpaceDE/>
        <w:autoSpaceDN/>
        <w:bidi w:val="0"/>
        <w:spacing w:line="560" w:lineRule="exact"/>
        <w:ind w:firstLine="640"/>
        <w:textAlignment w:val="auto"/>
      </w:pPr>
    </w:p>
    <w:p>
      <w:pPr>
        <w:keepNext w:val="0"/>
        <w:keepLines w:val="0"/>
        <w:pageBreakBefore w:val="0"/>
        <w:kinsoku/>
        <w:wordWrap/>
        <w:overflowPunct w:val="0"/>
        <w:topLinePunct w:val="0"/>
        <w:autoSpaceDE/>
        <w:autoSpaceDN/>
        <w:bidi w:val="0"/>
        <w:spacing w:line="560" w:lineRule="exact"/>
        <w:ind w:firstLine="640"/>
        <w:textAlignment w:val="auto"/>
      </w:pPr>
    </w:p>
    <w:p>
      <w:pPr>
        <w:keepNext w:val="0"/>
        <w:keepLines w:val="0"/>
        <w:pageBreakBefore w:val="0"/>
        <w:kinsoku/>
        <w:wordWrap/>
        <w:overflowPunct w:val="0"/>
        <w:topLinePunct w:val="0"/>
        <w:autoSpaceDE/>
        <w:autoSpaceDN/>
        <w:bidi w:val="0"/>
        <w:spacing w:line="560" w:lineRule="exact"/>
        <w:ind w:firstLine="640"/>
        <w:textAlignment w:val="auto"/>
      </w:pPr>
    </w:p>
    <w:p>
      <w:pPr>
        <w:keepNext w:val="0"/>
        <w:keepLines w:val="0"/>
        <w:pageBreakBefore w:val="0"/>
        <w:kinsoku/>
        <w:wordWrap/>
        <w:overflowPunct w:val="0"/>
        <w:topLinePunct w:val="0"/>
        <w:autoSpaceDE/>
        <w:autoSpaceDN/>
        <w:bidi w:val="0"/>
        <w:spacing w:line="560" w:lineRule="exact"/>
        <w:ind w:firstLine="640"/>
        <w:textAlignment w:val="auto"/>
      </w:pPr>
    </w:p>
    <w:p>
      <w:pPr>
        <w:keepNext w:val="0"/>
        <w:keepLines w:val="0"/>
        <w:pageBreakBefore w:val="0"/>
        <w:kinsoku/>
        <w:wordWrap/>
        <w:overflowPunct w:val="0"/>
        <w:topLinePunct w:val="0"/>
        <w:autoSpaceDE/>
        <w:autoSpaceDN/>
        <w:bidi w:val="0"/>
        <w:spacing w:line="560" w:lineRule="exact"/>
        <w:ind w:firstLine="640"/>
        <w:textAlignment w:val="auto"/>
      </w:pPr>
    </w:p>
    <w:p>
      <w:pPr>
        <w:keepNext w:val="0"/>
        <w:keepLines w:val="0"/>
        <w:pageBreakBefore w:val="0"/>
        <w:kinsoku/>
        <w:wordWrap/>
        <w:overflowPunct w:val="0"/>
        <w:topLinePunct w:val="0"/>
        <w:autoSpaceDE/>
        <w:autoSpaceDN/>
        <w:bidi w:val="0"/>
        <w:spacing w:line="560" w:lineRule="exact"/>
        <w:ind w:firstLine="640"/>
        <w:textAlignment w:val="auto"/>
      </w:pPr>
    </w:p>
    <w:p>
      <w:pPr>
        <w:keepNext w:val="0"/>
        <w:keepLines w:val="0"/>
        <w:pageBreakBefore w:val="0"/>
        <w:kinsoku/>
        <w:wordWrap/>
        <w:overflowPunct w:val="0"/>
        <w:topLinePunct w:val="0"/>
        <w:autoSpaceDE/>
        <w:autoSpaceDN/>
        <w:bidi w:val="0"/>
        <w:spacing w:line="560" w:lineRule="exact"/>
        <w:ind w:firstLine="640"/>
        <w:textAlignment w:val="auto"/>
      </w:pPr>
    </w:p>
    <w:p>
      <w:pPr>
        <w:keepNext w:val="0"/>
        <w:keepLines w:val="0"/>
        <w:pageBreakBefore w:val="0"/>
        <w:kinsoku/>
        <w:wordWrap/>
        <w:overflowPunct w:val="0"/>
        <w:topLinePunct w:val="0"/>
        <w:autoSpaceDE/>
        <w:autoSpaceDN/>
        <w:bidi w:val="0"/>
        <w:spacing w:line="560" w:lineRule="exact"/>
        <w:ind w:firstLine="640"/>
        <w:textAlignment w:val="auto"/>
      </w:pPr>
    </w:p>
    <w:p>
      <w:pPr>
        <w:keepNext w:val="0"/>
        <w:keepLines w:val="0"/>
        <w:pageBreakBefore w:val="0"/>
        <w:kinsoku/>
        <w:wordWrap/>
        <w:overflowPunct w:val="0"/>
        <w:topLinePunct w:val="0"/>
        <w:autoSpaceDE/>
        <w:autoSpaceDN/>
        <w:bidi w:val="0"/>
        <w:spacing w:line="560" w:lineRule="exact"/>
        <w:ind w:firstLine="640"/>
        <w:textAlignment w:val="auto"/>
      </w:pPr>
    </w:p>
    <w:p>
      <w:pPr>
        <w:pStyle w:val="4"/>
        <w:keepNext w:val="0"/>
        <w:keepLines w:val="0"/>
        <w:pageBreakBefore w:val="0"/>
        <w:kinsoku/>
        <w:wordWrap/>
        <w:overflowPunct w:val="0"/>
        <w:topLinePunct w:val="0"/>
        <w:autoSpaceDE/>
        <w:autoSpaceDN/>
        <w:bidi w:val="0"/>
        <w:spacing w:line="560" w:lineRule="exact"/>
        <w:ind w:firstLine="640"/>
        <w:textAlignment w:val="auto"/>
        <w:rPr>
          <w:rFonts w:ascii="黑体"/>
        </w:rPr>
      </w:pPr>
      <w:r>
        <w:rPr>
          <w:rFonts w:hint="eastAsia" w:ascii="黑体" w:hAnsi="黑体"/>
        </w:rPr>
        <w:t>六、其他</w:t>
      </w:r>
      <w:bookmarkEnd w:id="16"/>
    </w:p>
    <w:p>
      <w:pPr>
        <w:keepNext w:val="0"/>
        <w:keepLines w:val="0"/>
        <w:pageBreakBefore w:val="0"/>
        <w:kinsoku/>
        <w:wordWrap/>
        <w:overflowPunct w:val="0"/>
        <w:topLinePunct w:val="0"/>
        <w:autoSpaceDE/>
        <w:autoSpaceDN/>
        <w:bidi w:val="0"/>
        <w:spacing w:line="560" w:lineRule="exact"/>
        <w:ind w:firstLine="640"/>
        <w:textAlignment w:val="auto"/>
      </w:pPr>
      <w:r>
        <w:rPr>
          <w:rFonts w:hint="eastAsia"/>
        </w:rPr>
        <w:t>其他未尽事宜，请参照《药品注册管理办法》等现行的法律法规、技术指导原则有关文件执行。</w:t>
      </w:r>
    </w:p>
    <w:p>
      <w:pPr>
        <w:pStyle w:val="4"/>
        <w:keepNext w:val="0"/>
        <w:keepLines w:val="0"/>
        <w:pageBreakBefore w:val="0"/>
        <w:kinsoku/>
        <w:wordWrap/>
        <w:overflowPunct w:val="0"/>
        <w:topLinePunct w:val="0"/>
        <w:autoSpaceDE/>
        <w:autoSpaceDN/>
        <w:bidi w:val="0"/>
        <w:spacing w:line="560" w:lineRule="exact"/>
        <w:ind w:firstLine="640"/>
        <w:textAlignment w:val="auto"/>
        <w:rPr>
          <w:rFonts w:ascii="黑体"/>
        </w:rPr>
      </w:pPr>
      <w:bookmarkStart w:id="17" w:name="_Toc36757026"/>
      <w:r>
        <w:rPr>
          <w:rFonts w:hint="eastAsia" w:ascii="黑体"/>
        </w:rPr>
        <w:t>七</w:t>
      </w:r>
      <w:r>
        <w:rPr>
          <w:rFonts w:ascii="黑体"/>
        </w:rPr>
        <w:t>、附件</w:t>
      </w:r>
      <w:bookmarkEnd w:id="17"/>
    </w:p>
    <w:p>
      <w:pPr>
        <w:keepNext w:val="0"/>
        <w:keepLines w:val="0"/>
        <w:pageBreakBefore w:val="0"/>
        <w:kinsoku/>
        <w:wordWrap/>
        <w:overflowPunct w:val="0"/>
        <w:topLinePunct w:val="0"/>
        <w:autoSpaceDE/>
        <w:autoSpaceDN/>
        <w:bidi w:val="0"/>
        <w:spacing w:line="560" w:lineRule="exact"/>
        <w:ind w:firstLine="640"/>
        <w:textAlignment w:val="auto"/>
      </w:pPr>
      <w:r>
        <w:t>1</w:t>
      </w:r>
      <w:r>
        <w:rPr>
          <w:rFonts w:hint="eastAsia"/>
        </w:rPr>
        <w:t>．化学药品</w:t>
      </w:r>
      <w:r>
        <w:t>3</w:t>
      </w:r>
      <w:r>
        <w:rPr>
          <w:rFonts w:hint="eastAsia"/>
        </w:rPr>
        <w:t>、</w:t>
      </w:r>
      <w:r>
        <w:t>4</w:t>
      </w:r>
      <w:r>
        <w:rPr>
          <w:rFonts w:hint="eastAsia"/>
        </w:rPr>
        <w:t>、</w:t>
      </w:r>
      <w:r>
        <w:t>5.2</w:t>
      </w:r>
      <w:r>
        <w:rPr>
          <w:rFonts w:hint="eastAsia"/>
        </w:rPr>
        <w:t xml:space="preserve">类注册申报资料自查表 </w:t>
      </w:r>
    </w:p>
    <w:p>
      <w:pPr>
        <w:keepNext w:val="0"/>
        <w:keepLines w:val="0"/>
        <w:pageBreakBefore w:val="0"/>
        <w:kinsoku/>
        <w:wordWrap/>
        <w:overflowPunct w:val="0"/>
        <w:topLinePunct w:val="0"/>
        <w:autoSpaceDE/>
        <w:autoSpaceDN/>
        <w:bidi w:val="0"/>
        <w:spacing w:line="560" w:lineRule="exact"/>
        <w:ind w:firstLine="640"/>
        <w:textAlignment w:val="auto"/>
      </w:pPr>
      <w:r>
        <w:t>2</w:t>
      </w:r>
      <w:r>
        <w:rPr>
          <w:rFonts w:hint="eastAsia"/>
        </w:rPr>
        <w:t>．参考目录</w:t>
      </w:r>
    </w:p>
    <w:p>
      <w:pPr>
        <w:keepNext w:val="0"/>
        <w:keepLines w:val="0"/>
        <w:pageBreakBefore w:val="0"/>
        <w:kinsoku/>
        <w:wordWrap/>
        <w:overflowPunct w:val="0"/>
        <w:topLinePunct w:val="0"/>
        <w:autoSpaceDE/>
        <w:autoSpaceDN/>
        <w:bidi w:val="0"/>
        <w:spacing w:line="560" w:lineRule="exact"/>
        <w:ind w:firstLine="0" w:firstLineChars="0"/>
        <w:textAlignment w:val="auto"/>
      </w:pPr>
      <w:r>
        <w:rPr>
          <w:rFonts w:ascii="仿宋_GB2312" w:hAnsi="仿宋" w:cs="仿宋_GB2312"/>
          <w:color w:val="000000"/>
        </w:rPr>
        <w:br w:type="page"/>
      </w:r>
      <w:r>
        <w:rPr>
          <w:rFonts w:hint="eastAsia" w:ascii="黑体" w:hAnsi="黑体" w:eastAsia="黑体" w:cs="黑体"/>
        </w:rPr>
        <w:t>附件</w:t>
      </w:r>
      <w:r>
        <w:rPr>
          <w:rFonts w:ascii="黑体" w:hAnsi="黑体" w:eastAsia="黑体" w:cs="黑体"/>
        </w:rPr>
        <w:t>1</w:t>
      </w:r>
    </w:p>
    <w:p>
      <w:pPr>
        <w:pStyle w:val="3"/>
        <w:keepNext w:val="0"/>
        <w:keepLines w:val="0"/>
        <w:pageBreakBefore w:val="0"/>
        <w:tabs>
          <w:tab w:val="left" w:pos="420"/>
        </w:tabs>
        <w:kinsoku/>
        <w:wordWrap/>
        <w:overflowPunct w:val="0"/>
        <w:topLinePunct w:val="0"/>
        <w:autoSpaceDE/>
        <w:autoSpaceDN/>
        <w:bidi w:val="0"/>
        <w:adjustRightInd w:val="0"/>
        <w:snapToGrid w:val="0"/>
        <w:spacing w:before="217" w:beforeLines="50" w:after="217" w:afterLines="50" w:line="560" w:lineRule="exact"/>
        <w:ind w:firstLine="0" w:firstLineChars="0"/>
        <w:jc w:val="center"/>
        <w:textAlignment w:val="auto"/>
      </w:pPr>
      <w:bookmarkStart w:id="18" w:name="_Toc36757027"/>
      <w:r>
        <w:rPr>
          <w:rFonts w:hint="eastAsia" w:ascii="方正小标宋简体" w:hAnsi="方正小标宋简体" w:eastAsia="方正小标宋简体" w:cs="方正小标宋简体"/>
          <w:b w:val="0"/>
          <w:bCs w:val="0"/>
          <w:color w:val="000000"/>
          <w:sz w:val="44"/>
          <w:szCs w:val="44"/>
        </w:rPr>
        <w:t>化学药品</w:t>
      </w:r>
      <w:r>
        <w:rPr>
          <w:rFonts w:ascii="方正小标宋简体" w:hAnsi="方正小标宋简体" w:eastAsia="方正小标宋简体" w:cs="方正小标宋简体"/>
          <w:b w:val="0"/>
          <w:bCs w:val="0"/>
          <w:color w:val="000000"/>
          <w:sz w:val="44"/>
          <w:szCs w:val="44"/>
        </w:rPr>
        <w:t>3</w:t>
      </w:r>
      <w:r>
        <w:rPr>
          <w:rFonts w:hint="eastAsia" w:ascii="方正小标宋简体" w:hAnsi="方正小标宋简体" w:eastAsia="方正小标宋简体" w:cs="方正小标宋简体"/>
          <w:b w:val="0"/>
          <w:bCs w:val="0"/>
          <w:color w:val="000000"/>
          <w:sz w:val="44"/>
          <w:szCs w:val="44"/>
        </w:rPr>
        <w:t>、</w:t>
      </w:r>
      <w:r>
        <w:rPr>
          <w:rFonts w:ascii="方正小标宋简体" w:hAnsi="方正小标宋简体" w:eastAsia="方正小标宋简体" w:cs="方正小标宋简体"/>
          <w:b w:val="0"/>
          <w:bCs w:val="0"/>
          <w:color w:val="000000"/>
          <w:sz w:val="44"/>
          <w:szCs w:val="44"/>
        </w:rPr>
        <w:t>4</w:t>
      </w:r>
      <w:r>
        <w:rPr>
          <w:rFonts w:hint="eastAsia" w:ascii="方正小标宋简体" w:hAnsi="方正小标宋简体" w:eastAsia="方正小标宋简体" w:cs="方正小标宋简体"/>
          <w:b w:val="0"/>
          <w:bCs w:val="0"/>
          <w:color w:val="000000"/>
          <w:sz w:val="44"/>
          <w:szCs w:val="44"/>
        </w:rPr>
        <w:t>、</w:t>
      </w:r>
      <w:r>
        <w:rPr>
          <w:rFonts w:ascii="方正小标宋简体" w:hAnsi="方正小标宋简体" w:eastAsia="方正小标宋简体" w:cs="方正小标宋简体"/>
          <w:b w:val="0"/>
          <w:bCs w:val="0"/>
          <w:color w:val="000000"/>
          <w:sz w:val="44"/>
          <w:szCs w:val="44"/>
        </w:rPr>
        <w:t>5.2</w:t>
      </w:r>
      <w:r>
        <w:rPr>
          <w:rFonts w:hint="eastAsia" w:ascii="方正小标宋简体" w:hAnsi="方正小标宋简体" w:eastAsia="方正小标宋简体" w:cs="方正小标宋简体"/>
          <w:b w:val="0"/>
          <w:bCs w:val="0"/>
          <w:color w:val="000000"/>
          <w:sz w:val="44"/>
          <w:szCs w:val="44"/>
        </w:rPr>
        <w:t>类注册申报资料自查表</w:t>
      </w:r>
      <w:bookmarkEnd w:id="18"/>
    </w:p>
    <w:tbl>
      <w:tblPr>
        <w:tblStyle w:val="24"/>
        <w:tblW w:w="97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2694"/>
        <w:gridCol w:w="1701"/>
        <w:gridCol w:w="113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2263" w:type="dxa"/>
            <w:vAlign w:val="center"/>
          </w:tcPr>
          <w:p>
            <w:pPr>
              <w:keepNext w:val="0"/>
              <w:keepLines w:val="0"/>
              <w:pageBreakBefore w:val="0"/>
              <w:kinsoku/>
              <w:wordWrap/>
              <w:overflowPunct w:val="0"/>
              <w:topLinePunct w:val="0"/>
              <w:autoSpaceDE/>
              <w:autoSpaceDN/>
              <w:bidi w:val="0"/>
              <w:spacing w:line="240" w:lineRule="auto"/>
              <w:ind w:firstLine="0" w:firstLineChars="0"/>
              <w:jc w:val="center"/>
              <w:textAlignment w:val="auto"/>
              <w:rPr>
                <w:bCs/>
                <w:sz w:val="24"/>
                <w:szCs w:val="24"/>
              </w:rPr>
            </w:pPr>
            <w:r>
              <w:rPr>
                <w:bCs/>
                <w:sz w:val="24"/>
                <w:szCs w:val="24"/>
              </w:rPr>
              <w:t>药品名称</w:t>
            </w:r>
          </w:p>
        </w:tc>
        <w:tc>
          <w:tcPr>
            <w:tcW w:w="2694" w:type="dxa"/>
            <w:vAlign w:val="center"/>
          </w:tcPr>
          <w:p>
            <w:pPr>
              <w:keepNext w:val="0"/>
              <w:keepLines w:val="0"/>
              <w:pageBreakBefore w:val="0"/>
              <w:kinsoku/>
              <w:wordWrap/>
              <w:overflowPunct w:val="0"/>
              <w:topLinePunct w:val="0"/>
              <w:autoSpaceDE/>
              <w:autoSpaceDN/>
              <w:bidi w:val="0"/>
              <w:spacing w:line="240" w:lineRule="auto"/>
              <w:ind w:firstLine="0" w:firstLineChars="0"/>
              <w:jc w:val="center"/>
              <w:textAlignment w:val="auto"/>
              <w:rPr>
                <w:rFonts w:ascii="宋体"/>
                <w:bCs/>
                <w:sz w:val="24"/>
                <w:szCs w:val="24"/>
              </w:rPr>
            </w:pP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center"/>
              <w:textAlignment w:val="auto"/>
              <w:rPr>
                <w:rFonts w:ascii="宋体"/>
                <w:bCs/>
                <w:sz w:val="24"/>
                <w:szCs w:val="24"/>
              </w:rPr>
            </w:pPr>
            <w:r>
              <w:rPr>
                <w:rFonts w:hint="eastAsia" w:ascii="宋体" w:hAnsi="宋体"/>
                <w:bCs/>
                <w:sz w:val="24"/>
                <w:szCs w:val="24"/>
              </w:rPr>
              <w:t>规</w:t>
            </w:r>
            <w:r>
              <w:rPr>
                <w:rFonts w:ascii="宋体" w:hAnsi="宋体"/>
                <w:bCs/>
                <w:sz w:val="24"/>
                <w:szCs w:val="24"/>
              </w:rPr>
              <w:t xml:space="preserve">    </w:t>
            </w:r>
            <w:r>
              <w:rPr>
                <w:rFonts w:hint="eastAsia" w:ascii="宋体" w:hAnsi="宋体"/>
                <w:bCs/>
                <w:sz w:val="24"/>
                <w:szCs w:val="24"/>
              </w:rPr>
              <w:t>格</w:t>
            </w:r>
          </w:p>
        </w:tc>
        <w:tc>
          <w:tcPr>
            <w:tcW w:w="3118"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center"/>
              <w:textAlignment w:val="auto"/>
              <w:rPr>
                <w:rFonts w:ascii="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2263" w:type="dxa"/>
            <w:vAlign w:val="center"/>
          </w:tcPr>
          <w:p>
            <w:pPr>
              <w:keepNext w:val="0"/>
              <w:keepLines w:val="0"/>
              <w:pageBreakBefore w:val="0"/>
              <w:kinsoku/>
              <w:wordWrap/>
              <w:overflowPunct w:val="0"/>
              <w:topLinePunct w:val="0"/>
              <w:autoSpaceDE/>
              <w:autoSpaceDN/>
              <w:bidi w:val="0"/>
              <w:spacing w:line="240" w:lineRule="auto"/>
              <w:ind w:firstLine="0" w:firstLineChars="0"/>
              <w:jc w:val="center"/>
              <w:textAlignment w:val="auto"/>
              <w:rPr>
                <w:bCs/>
                <w:sz w:val="24"/>
                <w:szCs w:val="24"/>
              </w:rPr>
            </w:pPr>
            <w:r>
              <w:rPr>
                <w:bCs/>
                <w:sz w:val="24"/>
                <w:szCs w:val="24"/>
              </w:rPr>
              <w:t>申请事项</w:t>
            </w:r>
          </w:p>
        </w:tc>
        <w:tc>
          <w:tcPr>
            <w:tcW w:w="2694" w:type="dxa"/>
            <w:vAlign w:val="center"/>
          </w:tcPr>
          <w:p>
            <w:pPr>
              <w:keepNext w:val="0"/>
              <w:keepLines w:val="0"/>
              <w:pageBreakBefore w:val="0"/>
              <w:kinsoku/>
              <w:wordWrap/>
              <w:overflowPunct w:val="0"/>
              <w:topLinePunct w:val="0"/>
              <w:autoSpaceDE/>
              <w:autoSpaceDN/>
              <w:bidi w:val="0"/>
              <w:spacing w:line="240" w:lineRule="auto"/>
              <w:ind w:firstLine="0" w:firstLineChars="0"/>
              <w:textAlignment w:val="auto"/>
              <w:rPr>
                <w:rFonts w:ascii="宋体"/>
                <w:bCs/>
                <w:sz w:val="24"/>
                <w:szCs w:val="24"/>
              </w:rPr>
            </w:pPr>
            <w:r>
              <w:rPr>
                <w:rFonts w:hint="eastAsia" w:ascii="宋体" w:hAnsi="宋体"/>
                <w:bCs/>
                <w:sz w:val="24"/>
                <w:szCs w:val="24"/>
              </w:rPr>
              <w:t>□临床试验□上市许可</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center"/>
              <w:textAlignment w:val="auto"/>
              <w:rPr>
                <w:rFonts w:ascii="宋体" w:hAnsi="宋体"/>
                <w:bCs/>
                <w:sz w:val="24"/>
                <w:szCs w:val="24"/>
              </w:rPr>
            </w:pPr>
            <w:r>
              <w:rPr>
                <w:rFonts w:hint="eastAsia" w:ascii="宋体" w:hAnsi="宋体"/>
                <w:bCs/>
                <w:sz w:val="24"/>
                <w:szCs w:val="24"/>
              </w:rPr>
              <w:t>注册分类</w:t>
            </w:r>
          </w:p>
        </w:tc>
        <w:tc>
          <w:tcPr>
            <w:tcW w:w="3118"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center"/>
              <w:textAlignment w:val="auto"/>
              <w:rPr>
                <w:rFonts w:ascii="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jc w:val="center"/>
        </w:trPr>
        <w:tc>
          <w:tcPr>
            <w:tcW w:w="2263" w:type="dxa"/>
            <w:vAlign w:val="center"/>
          </w:tcPr>
          <w:p>
            <w:pPr>
              <w:keepNext w:val="0"/>
              <w:keepLines w:val="0"/>
              <w:pageBreakBefore w:val="0"/>
              <w:kinsoku/>
              <w:wordWrap/>
              <w:overflowPunct w:val="0"/>
              <w:topLinePunct w:val="0"/>
              <w:autoSpaceDE/>
              <w:autoSpaceDN/>
              <w:bidi w:val="0"/>
              <w:spacing w:line="240" w:lineRule="auto"/>
              <w:ind w:firstLine="0" w:firstLineChars="0"/>
              <w:jc w:val="center"/>
              <w:textAlignment w:val="auto"/>
              <w:rPr>
                <w:bCs/>
                <w:sz w:val="24"/>
                <w:szCs w:val="24"/>
              </w:rPr>
            </w:pPr>
            <w:r>
              <w:rPr>
                <w:rFonts w:hint="eastAsia"/>
                <w:bCs/>
                <w:sz w:val="24"/>
                <w:szCs w:val="24"/>
              </w:rPr>
              <w:t>加快</w:t>
            </w:r>
            <w:r>
              <w:rPr>
                <w:bCs/>
                <w:sz w:val="24"/>
                <w:szCs w:val="24"/>
              </w:rPr>
              <w:t>上市注册程序</w:t>
            </w:r>
          </w:p>
        </w:tc>
        <w:tc>
          <w:tcPr>
            <w:tcW w:w="7513" w:type="dxa"/>
            <w:gridSpan w:val="4"/>
            <w:vAlign w:val="center"/>
          </w:tcPr>
          <w:p>
            <w:pPr>
              <w:keepNext w:val="0"/>
              <w:keepLines w:val="0"/>
              <w:pageBreakBefore w:val="0"/>
              <w:kinsoku/>
              <w:wordWrap/>
              <w:overflowPunct w:val="0"/>
              <w:topLinePunct w:val="0"/>
              <w:autoSpaceDE/>
              <w:autoSpaceDN/>
              <w:bidi w:val="0"/>
              <w:spacing w:line="240" w:lineRule="auto"/>
              <w:ind w:firstLine="0" w:firstLineChars="0"/>
              <w:textAlignment w:val="auto"/>
              <w:rPr>
                <w:rFonts w:ascii="宋体"/>
                <w:bCs/>
                <w:sz w:val="24"/>
                <w:szCs w:val="24"/>
              </w:rPr>
            </w:pPr>
            <w:r>
              <w:rPr>
                <w:rFonts w:hint="eastAsia" w:ascii="宋体" w:hAnsi="宋体"/>
                <w:bCs/>
                <w:sz w:val="24"/>
                <w:szCs w:val="24"/>
              </w:rPr>
              <w:t>□附条件批准</w:t>
            </w:r>
            <w:r>
              <w:rPr>
                <w:rFonts w:ascii="宋体" w:hAnsi="宋体"/>
                <w:bCs/>
                <w:sz w:val="24"/>
                <w:szCs w:val="24"/>
              </w:rPr>
              <w:t>程序</w:t>
            </w:r>
            <w:r>
              <w:rPr>
                <w:rFonts w:hint="eastAsia" w:ascii="宋体" w:hAnsi="宋体"/>
                <w:bCs/>
                <w:sz w:val="24"/>
                <w:szCs w:val="24"/>
              </w:rPr>
              <w:t xml:space="preserve"> </w:t>
            </w:r>
            <w:r>
              <w:rPr>
                <w:rFonts w:ascii="宋体" w:hAnsi="宋体"/>
                <w:bCs/>
                <w:sz w:val="24"/>
                <w:szCs w:val="24"/>
              </w:rPr>
              <w:t xml:space="preserve">  </w:t>
            </w:r>
            <w:r>
              <w:rPr>
                <w:rFonts w:hint="eastAsia" w:ascii="宋体" w:hAnsi="宋体"/>
                <w:bCs/>
                <w:sz w:val="24"/>
                <w:szCs w:val="24"/>
              </w:rPr>
              <w:t>□优先</w:t>
            </w:r>
            <w:r>
              <w:rPr>
                <w:rFonts w:ascii="宋体" w:hAnsi="宋体"/>
                <w:bCs/>
                <w:sz w:val="24"/>
                <w:szCs w:val="24"/>
              </w:rPr>
              <w:t>审评</w:t>
            </w:r>
            <w:r>
              <w:rPr>
                <w:rFonts w:hint="eastAsia" w:ascii="宋体" w:hAnsi="宋体"/>
                <w:bCs/>
                <w:sz w:val="24"/>
                <w:szCs w:val="24"/>
              </w:rPr>
              <w:t>审批</w:t>
            </w:r>
            <w:r>
              <w:rPr>
                <w:rFonts w:ascii="宋体" w:hAnsi="宋体"/>
                <w:bCs/>
                <w:sz w:val="24"/>
                <w:szCs w:val="24"/>
              </w:rPr>
              <w:t xml:space="preserve">程序   </w:t>
            </w:r>
            <w:r>
              <w:rPr>
                <w:rFonts w:hint="eastAsia" w:ascii="宋体" w:hAnsi="宋体"/>
                <w:bCs/>
                <w:sz w:val="24"/>
                <w:szCs w:val="24"/>
              </w:rPr>
              <w:t>□特别</w:t>
            </w:r>
            <w:r>
              <w:rPr>
                <w:rFonts w:ascii="宋体" w:hAnsi="宋体"/>
                <w:bCs/>
                <w:sz w:val="24"/>
                <w:szCs w:val="24"/>
              </w:rPr>
              <w:t>审批程序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2263" w:type="dxa"/>
            <w:vAlign w:val="center"/>
          </w:tcPr>
          <w:p>
            <w:pPr>
              <w:keepNext w:val="0"/>
              <w:keepLines w:val="0"/>
              <w:pageBreakBefore w:val="0"/>
              <w:kinsoku/>
              <w:wordWrap/>
              <w:overflowPunct w:val="0"/>
              <w:topLinePunct w:val="0"/>
              <w:autoSpaceDE/>
              <w:autoSpaceDN/>
              <w:bidi w:val="0"/>
              <w:spacing w:line="240" w:lineRule="auto"/>
              <w:ind w:firstLine="0" w:firstLineChars="0"/>
              <w:jc w:val="center"/>
              <w:textAlignment w:val="auto"/>
              <w:rPr>
                <w:bCs/>
                <w:sz w:val="24"/>
                <w:szCs w:val="24"/>
              </w:rPr>
            </w:pPr>
            <w:r>
              <w:rPr>
                <w:bCs/>
                <w:sz w:val="24"/>
                <w:szCs w:val="24"/>
              </w:rPr>
              <w:t>申</w:t>
            </w:r>
            <w:r>
              <w:rPr>
                <w:rFonts w:hint="eastAsia"/>
                <w:bCs/>
                <w:sz w:val="24"/>
                <w:szCs w:val="24"/>
              </w:rPr>
              <w:t xml:space="preserve"> </w:t>
            </w:r>
            <w:r>
              <w:rPr>
                <w:bCs/>
                <w:sz w:val="24"/>
                <w:szCs w:val="24"/>
              </w:rPr>
              <w:t>请</w:t>
            </w:r>
            <w:r>
              <w:rPr>
                <w:rFonts w:hint="eastAsia"/>
                <w:bCs/>
                <w:sz w:val="24"/>
                <w:szCs w:val="24"/>
              </w:rPr>
              <w:t xml:space="preserve"> </w:t>
            </w:r>
            <w:r>
              <w:rPr>
                <w:bCs/>
                <w:sz w:val="24"/>
                <w:szCs w:val="24"/>
              </w:rPr>
              <w:t>人</w:t>
            </w:r>
          </w:p>
        </w:tc>
        <w:tc>
          <w:tcPr>
            <w:tcW w:w="7513" w:type="dxa"/>
            <w:gridSpan w:val="4"/>
            <w:vAlign w:val="center"/>
          </w:tcPr>
          <w:p>
            <w:pPr>
              <w:keepNext w:val="0"/>
              <w:keepLines w:val="0"/>
              <w:pageBreakBefore w:val="0"/>
              <w:kinsoku/>
              <w:wordWrap/>
              <w:overflowPunct w:val="0"/>
              <w:topLinePunct w:val="0"/>
              <w:autoSpaceDE/>
              <w:autoSpaceDN/>
              <w:bidi w:val="0"/>
              <w:spacing w:line="240" w:lineRule="auto"/>
              <w:ind w:firstLine="0" w:firstLineChars="0"/>
              <w:jc w:val="center"/>
              <w:textAlignment w:val="auto"/>
              <w:rPr>
                <w:rFonts w:ascii="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4" w:hRule="atLeast"/>
          <w:jc w:val="center"/>
        </w:trPr>
        <w:tc>
          <w:tcPr>
            <w:tcW w:w="2263" w:type="dxa"/>
            <w:vAlign w:val="center"/>
          </w:tcPr>
          <w:p>
            <w:pPr>
              <w:keepNext w:val="0"/>
              <w:keepLines w:val="0"/>
              <w:pageBreakBefore w:val="0"/>
              <w:kinsoku/>
              <w:wordWrap/>
              <w:overflowPunct w:val="0"/>
              <w:topLinePunct w:val="0"/>
              <w:autoSpaceDE/>
              <w:autoSpaceDN/>
              <w:bidi w:val="0"/>
              <w:spacing w:line="240" w:lineRule="auto"/>
              <w:ind w:firstLine="0" w:firstLineChars="0"/>
              <w:jc w:val="center"/>
              <w:textAlignment w:val="auto"/>
              <w:rPr>
                <w:bCs/>
                <w:sz w:val="24"/>
                <w:szCs w:val="24"/>
              </w:rPr>
            </w:pPr>
            <w:r>
              <w:rPr>
                <w:rFonts w:hint="eastAsia"/>
                <w:bCs/>
                <w:sz w:val="24"/>
                <w:szCs w:val="24"/>
              </w:rPr>
              <w:t>参比制剂</w:t>
            </w:r>
            <w:r>
              <w:rPr>
                <w:bCs/>
                <w:sz w:val="24"/>
                <w:szCs w:val="24"/>
              </w:rPr>
              <w:t>信息</w:t>
            </w:r>
          </w:p>
        </w:tc>
        <w:tc>
          <w:tcPr>
            <w:tcW w:w="269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bCs/>
                <w:sz w:val="24"/>
                <w:szCs w:val="24"/>
              </w:rPr>
            </w:pPr>
            <w:r>
              <w:rPr>
                <w:rFonts w:hint="eastAsia" w:ascii="宋体" w:hAnsi="宋体"/>
                <w:bCs/>
                <w:sz w:val="24"/>
                <w:szCs w:val="24"/>
              </w:rPr>
              <w:t>第</w:t>
            </w:r>
            <w:r>
              <w:rPr>
                <w:rFonts w:ascii="宋体" w:hAnsi="宋体"/>
                <w:bCs/>
                <w:sz w:val="24"/>
                <w:szCs w:val="24"/>
                <w:u w:val="single"/>
              </w:rPr>
              <w:t xml:space="preserve">  </w:t>
            </w:r>
            <w:r>
              <w:rPr>
                <w:rFonts w:ascii="宋体" w:hAnsi="宋体"/>
                <w:bCs/>
                <w:sz w:val="24"/>
                <w:szCs w:val="24"/>
              </w:rPr>
              <w:t>批</w:t>
            </w:r>
            <w:r>
              <w:rPr>
                <w:rFonts w:hint="eastAsia" w:ascii="宋体" w:hAnsi="宋体"/>
                <w:bCs/>
                <w:sz w:val="24"/>
                <w:szCs w:val="24"/>
              </w:rPr>
              <w:t>，</w:t>
            </w:r>
            <w:r>
              <w:rPr>
                <w:rFonts w:ascii="宋体" w:hAnsi="宋体"/>
                <w:bCs/>
                <w:sz w:val="24"/>
                <w:szCs w:val="24"/>
              </w:rPr>
              <w:t>序号</w:t>
            </w:r>
            <w:r>
              <w:rPr>
                <w:rFonts w:ascii="宋体" w:hAnsi="宋体"/>
                <w:bCs/>
                <w:sz w:val="24"/>
                <w:szCs w:val="24"/>
                <w:u w:val="single"/>
              </w:rPr>
              <w:t xml:space="preserve">  </w:t>
            </w:r>
          </w:p>
        </w:tc>
        <w:tc>
          <w:tcPr>
            <w:tcW w:w="1701" w:type="dxa"/>
            <w:vAlign w:val="center"/>
          </w:tcPr>
          <w:p>
            <w:pPr>
              <w:keepNext w:val="0"/>
              <w:keepLines w:val="0"/>
              <w:pageBreakBefore w:val="0"/>
              <w:kinsoku/>
              <w:wordWrap/>
              <w:overflowPunct w:val="0"/>
              <w:topLinePunct w:val="0"/>
              <w:autoSpaceDE/>
              <w:autoSpaceDN/>
              <w:bidi w:val="0"/>
              <w:adjustRightInd w:val="0"/>
              <w:snapToGrid w:val="0"/>
              <w:spacing w:line="240" w:lineRule="auto"/>
              <w:ind w:firstLine="0" w:firstLineChars="0"/>
              <w:jc w:val="left"/>
              <w:textAlignment w:val="auto"/>
              <w:rPr>
                <w:rFonts w:ascii="宋体"/>
                <w:bCs/>
                <w:sz w:val="24"/>
                <w:szCs w:val="24"/>
              </w:rPr>
            </w:pPr>
            <w:r>
              <w:rPr>
                <w:bCs/>
                <w:sz w:val="24"/>
                <w:szCs w:val="24"/>
              </w:rPr>
              <w:t>沟通交流</w:t>
            </w:r>
            <w:r>
              <w:rPr>
                <w:rFonts w:hint="eastAsia" w:ascii="宋体" w:hAnsi="宋体"/>
                <w:bCs/>
                <w:sz w:val="24"/>
                <w:szCs w:val="24"/>
              </w:rPr>
              <w:t>编号（</w:t>
            </w:r>
            <w:r>
              <w:rPr>
                <w:rFonts w:ascii="宋体" w:hAnsi="宋体"/>
                <w:bCs/>
                <w:sz w:val="24"/>
                <w:szCs w:val="24"/>
              </w:rPr>
              <w:t>如适用）</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bCs/>
                <w:sz w:val="24"/>
                <w:szCs w:val="24"/>
              </w:rPr>
            </w:pP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center"/>
              <w:textAlignment w:val="auto"/>
              <w:rPr>
                <w:rFonts w:ascii="宋体"/>
                <w:bCs/>
                <w:sz w:val="24"/>
                <w:szCs w:val="24"/>
              </w:rPr>
            </w:pPr>
            <w:r>
              <w:rPr>
                <w:rFonts w:hint="eastAsia" w:ascii="宋体"/>
                <w:bCs/>
                <w:sz w:val="24"/>
                <w:szCs w:val="24"/>
              </w:rPr>
              <w:t>备注/页码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9776" w:type="dxa"/>
            <w:gridSpan w:val="5"/>
            <w:vAlign w:val="center"/>
          </w:tcPr>
          <w:p>
            <w:pPr>
              <w:keepNext w:val="0"/>
              <w:keepLines w:val="0"/>
              <w:pageBreakBefore w:val="0"/>
              <w:kinsoku/>
              <w:wordWrap/>
              <w:overflowPunct w:val="0"/>
              <w:topLinePunct w:val="0"/>
              <w:autoSpaceDE/>
              <w:autoSpaceDN/>
              <w:bidi w:val="0"/>
              <w:spacing w:line="240" w:lineRule="auto"/>
              <w:ind w:firstLine="0" w:firstLineChars="0"/>
              <w:jc w:val="center"/>
              <w:textAlignment w:val="auto"/>
              <w:rPr>
                <w:rFonts w:eastAsia="黑体"/>
                <w:bCs/>
                <w:sz w:val="24"/>
                <w:szCs w:val="24"/>
              </w:rPr>
            </w:pPr>
            <w:r>
              <w:rPr>
                <w:rFonts w:eastAsia="黑体"/>
                <w:bCs/>
                <w:sz w:val="28"/>
                <w:szCs w:val="24"/>
              </w:rPr>
              <w:t>一、基本</w:t>
            </w:r>
            <w:r>
              <w:rPr>
                <w:rFonts w:hint="eastAsia" w:eastAsia="黑体"/>
                <w:bCs/>
                <w:sz w:val="28"/>
                <w:szCs w:val="24"/>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1.</w:t>
            </w:r>
            <w:r>
              <w:rPr>
                <w:bCs/>
                <w:sz w:val="24"/>
                <w:szCs w:val="24"/>
              </w:rPr>
              <w:t>1</w:t>
            </w:r>
            <w:r>
              <w:rPr>
                <w:rFonts w:hint="eastAsia"/>
                <w:bCs/>
                <w:sz w:val="24"/>
                <w:szCs w:val="24"/>
              </w:rPr>
              <w:t>是否符合豁免药物临床试验条件（上市</w:t>
            </w:r>
            <w:r>
              <w:rPr>
                <w:bCs/>
                <w:sz w:val="24"/>
                <w:szCs w:val="24"/>
              </w:rPr>
              <w:t>适用</w:t>
            </w:r>
            <w:r>
              <w:rPr>
                <w:rFonts w:hint="eastAsia"/>
                <w:bCs/>
                <w:sz w:val="24"/>
                <w:szCs w:val="24"/>
              </w:rPr>
              <w:t>）</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□不适用</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bCs/>
                <w:sz w:val="24"/>
                <w:szCs w:val="24"/>
              </w:rPr>
              <w:t>1.2申请人和生产企业是否</w:t>
            </w:r>
            <w:r>
              <w:rPr>
                <w:rFonts w:hint="eastAsia"/>
                <w:bCs/>
                <w:sz w:val="24"/>
                <w:szCs w:val="24"/>
              </w:rPr>
              <w:t>已</w:t>
            </w:r>
            <w:r>
              <w:rPr>
                <w:bCs/>
                <w:sz w:val="24"/>
                <w:szCs w:val="24"/>
              </w:rPr>
              <w:t>取得药品生产许可证</w:t>
            </w:r>
            <w:r>
              <w:rPr>
                <w:rFonts w:hint="eastAsia"/>
                <w:bCs/>
                <w:sz w:val="24"/>
                <w:szCs w:val="24"/>
              </w:rPr>
              <w:t>（上市</w:t>
            </w:r>
            <w:r>
              <w:rPr>
                <w:bCs/>
                <w:sz w:val="24"/>
                <w:szCs w:val="24"/>
              </w:rPr>
              <w:t>适用</w:t>
            </w:r>
            <w:r>
              <w:rPr>
                <w:rFonts w:hint="eastAsia"/>
                <w:bCs/>
                <w:sz w:val="24"/>
                <w:szCs w:val="24"/>
              </w:rPr>
              <w:t>）</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□不适用</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7"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bCs/>
                <w:sz w:val="24"/>
                <w:szCs w:val="24"/>
              </w:rPr>
              <w:t>1.3</w:t>
            </w:r>
            <w:r>
              <w:rPr>
                <w:rFonts w:hint="eastAsia"/>
                <w:bCs/>
                <w:sz w:val="24"/>
                <w:szCs w:val="24"/>
              </w:rPr>
              <w:t>是否</w:t>
            </w:r>
            <w:r>
              <w:rPr>
                <w:bCs/>
                <w:sz w:val="24"/>
                <w:szCs w:val="24"/>
              </w:rPr>
              <w:t>已</w:t>
            </w:r>
            <w:r>
              <w:rPr>
                <w:rFonts w:hint="eastAsia"/>
                <w:bCs/>
                <w:sz w:val="24"/>
                <w:szCs w:val="24"/>
              </w:rPr>
              <w:t>向</w:t>
            </w:r>
            <w:r>
              <w:rPr>
                <w:bCs/>
                <w:sz w:val="24"/>
                <w:szCs w:val="24"/>
              </w:rPr>
              <w:t>中检院或</w:t>
            </w:r>
            <w:r>
              <w:rPr>
                <w:rFonts w:hint="eastAsia"/>
                <w:bCs/>
                <w:sz w:val="24"/>
                <w:szCs w:val="24"/>
              </w:rPr>
              <w:t>省、自治区、直辖市药品监督管理部门提出</w:t>
            </w:r>
            <w:r>
              <w:rPr>
                <w:bCs/>
                <w:sz w:val="24"/>
                <w:szCs w:val="24"/>
              </w:rPr>
              <w:t>药品注册检验</w:t>
            </w:r>
            <w:r>
              <w:rPr>
                <w:rFonts w:hint="eastAsia"/>
                <w:bCs/>
                <w:sz w:val="24"/>
                <w:szCs w:val="24"/>
              </w:rPr>
              <w:t>，</w:t>
            </w:r>
            <w:r>
              <w:rPr>
                <w:bCs/>
                <w:sz w:val="24"/>
                <w:szCs w:val="24"/>
              </w:rPr>
              <w:t>并提交送检凭证复印件</w:t>
            </w:r>
            <w:r>
              <w:rPr>
                <w:rFonts w:hint="eastAsia"/>
                <w:bCs/>
                <w:sz w:val="24"/>
                <w:szCs w:val="24"/>
              </w:rPr>
              <w:t>（上市</w:t>
            </w:r>
            <w:r>
              <w:rPr>
                <w:bCs/>
                <w:sz w:val="24"/>
                <w:szCs w:val="24"/>
              </w:rPr>
              <w:t>适用</w:t>
            </w:r>
            <w:r>
              <w:rPr>
                <w:rFonts w:hint="eastAsia"/>
                <w:bCs/>
                <w:sz w:val="24"/>
                <w:szCs w:val="24"/>
              </w:rPr>
              <w:t>）</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□不适用</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5"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bCs/>
                <w:sz w:val="24"/>
                <w:szCs w:val="24"/>
              </w:rPr>
              <w:t>1.4</w:t>
            </w:r>
            <w:r>
              <w:rPr>
                <w:rFonts w:hint="eastAsia"/>
                <w:bCs/>
                <w:sz w:val="24"/>
                <w:szCs w:val="24"/>
              </w:rPr>
              <w:t>是否</w:t>
            </w:r>
            <w:r>
              <w:rPr>
                <w:bCs/>
                <w:sz w:val="24"/>
                <w:szCs w:val="24"/>
              </w:rPr>
              <w:t>已</w:t>
            </w:r>
            <w:r>
              <w:rPr>
                <w:rFonts w:hint="eastAsia"/>
                <w:bCs/>
                <w:sz w:val="24"/>
                <w:szCs w:val="24"/>
              </w:rPr>
              <w:t>完成支持药品上市注册的药学、药理毒理学和药物临床试验等研究，确定质量标准，完成商业规模生产工艺验证，并做好接受药品注册核查检验的准备（上市</w:t>
            </w:r>
            <w:r>
              <w:rPr>
                <w:bCs/>
                <w:sz w:val="24"/>
                <w:szCs w:val="24"/>
              </w:rPr>
              <w:t>适用</w:t>
            </w:r>
            <w:r>
              <w:rPr>
                <w:rFonts w:hint="eastAsia"/>
                <w:bCs/>
                <w:sz w:val="24"/>
                <w:szCs w:val="24"/>
              </w:rPr>
              <w:t>）</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bCs/>
                <w:sz w:val="24"/>
                <w:szCs w:val="24"/>
              </w:rPr>
            </w:pPr>
            <w:r>
              <w:rPr>
                <w:rFonts w:hint="eastAsia" w:ascii="宋体" w:hAnsi="宋体"/>
                <w:bCs/>
                <w:sz w:val="24"/>
                <w:szCs w:val="24"/>
              </w:rPr>
              <w:t>□不适用</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bCs/>
                <w:sz w:val="24"/>
                <w:szCs w:val="24"/>
              </w:rPr>
            </w:pPr>
            <w:r>
              <w:rPr>
                <w:rFonts w:hint="eastAsia" w:ascii="宋体" w:hAnsi="宋体"/>
                <w:bCs/>
                <w:sz w:val="24"/>
                <w:szCs w:val="24"/>
              </w:rPr>
              <w:t>□否</w:t>
            </w: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1.</w:t>
            </w:r>
            <w:r>
              <w:rPr>
                <w:bCs/>
                <w:sz w:val="24"/>
                <w:szCs w:val="24"/>
              </w:rPr>
              <w:t>5</w:t>
            </w:r>
            <w:r>
              <w:rPr>
                <w:rFonts w:hint="eastAsia"/>
                <w:bCs/>
                <w:sz w:val="24"/>
                <w:szCs w:val="24"/>
              </w:rPr>
              <w:t>是否</w:t>
            </w:r>
            <w:r>
              <w:rPr>
                <w:bCs/>
                <w:sz w:val="24"/>
                <w:szCs w:val="24"/>
              </w:rPr>
              <w:t>包含国家禁止进口的牛源性成分</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bCs/>
                <w:sz w:val="24"/>
                <w:szCs w:val="24"/>
              </w:rPr>
              <w:t>是否包含国家已明令禁止、撤市药物成分，如含右丙氧芬、西布曲明、盐酸芬氟拉明、甲磺酸培高利特、苯丙醇胺（PPA）等</w:t>
            </w:r>
          </w:p>
        </w:tc>
        <w:tc>
          <w:tcPr>
            <w:tcW w:w="1701" w:type="dxa"/>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p>
        </w:tc>
        <w:tc>
          <w:tcPr>
            <w:tcW w:w="1134" w:type="dxa"/>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4"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bCs/>
                <w:sz w:val="24"/>
                <w:szCs w:val="24"/>
              </w:rPr>
              <w:t>1.6国家局其他相关规定不予受理的情形</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bCs/>
                <w:sz w:val="24"/>
                <w:szCs w:val="24"/>
              </w:rPr>
            </w:pPr>
            <w:r>
              <w:rPr>
                <w:rFonts w:hint="eastAsia" w:ascii="宋体" w:hAnsi="宋体"/>
                <w:bCs/>
                <w:sz w:val="24"/>
                <w:szCs w:val="24"/>
              </w:rPr>
              <w:t>□否</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bCs/>
                <w:sz w:val="24"/>
                <w:szCs w:val="24"/>
              </w:rPr>
            </w:pPr>
            <w:r>
              <w:rPr>
                <w:rFonts w:hint="eastAsia" w:ascii="宋体" w:hAnsi="宋体"/>
                <w:bCs/>
                <w:sz w:val="24"/>
                <w:szCs w:val="24"/>
              </w:rPr>
              <w:t>□是</w:t>
            </w: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9776" w:type="dxa"/>
            <w:gridSpan w:val="5"/>
            <w:vAlign w:val="center"/>
          </w:tcPr>
          <w:p>
            <w:pPr>
              <w:keepNext w:val="0"/>
              <w:keepLines w:val="0"/>
              <w:pageBreakBefore w:val="0"/>
              <w:kinsoku/>
              <w:wordWrap/>
              <w:overflowPunct w:val="0"/>
              <w:topLinePunct w:val="0"/>
              <w:autoSpaceDE/>
              <w:autoSpaceDN/>
              <w:bidi w:val="0"/>
              <w:spacing w:line="240" w:lineRule="auto"/>
              <w:ind w:firstLine="0" w:firstLineChars="0"/>
              <w:jc w:val="center"/>
              <w:textAlignment w:val="auto"/>
              <w:rPr>
                <w:rFonts w:eastAsia="黑体"/>
                <w:bCs/>
                <w:sz w:val="24"/>
                <w:szCs w:val="24"/>
              </w:rPr>
            </w:pPr>
            <w:r>
              <w:rPr>
                <w:rFonts w:eastAsia="黑体"/>
                <w:bCs/>
                <w:sz w:val="28"/>
                <w:szCs w:val="24"/>
              </w:rPr>
              <w:t>二、</w:t>
            </w:r>
            <w:r>
              <w:rPr>
                <w:rFonts w:hint="eastAsia" w:eastAsia="黑体"/>
                <w:bCs/>
                <w:sz w:val="28"/>
                <w:szCs w:val="24"/>
              </w:rPr>
              <w:t>申</w:t>
            </w:r>
            <w:r>
              <w:rPr>
                <w:rFonts w:hint="eastAsia" w:ascii="黑体" w:hAnsi="黑体" w:eastAsia="黑体"/>
                <w:bCs/>
                <w:sz w:val="28"/>
                <w:szCs w:val="24"/>
              </w:rPr>
              <w:t>报</w:t>
            </w:r>
            <w:r>
              <w:rPr>
                <w:rFonts w:ascii="黑体" w:hAnsi="黑体" w:eastAsia="黑体"/>
                <w:bCs/>
                <w:sz w:val="28"/>
                <w:szCs w:val="24"/>
              </w:rPr>
              <w:t>材料</w:t>
            </w:r>
            <w:r>
              <w:rPr>
                <w:rFonts w:hint="eastAsia" w:eastAsia="黑体"/>
                <w:bCs/>
                <w:sz w:val="28"/>
                <w:szCs w:val="24"/>
              </w:rPr>
              <w:t>自查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11"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color w:val="000000"/>
                <w:sz w:val="24"/>
                <w:szCs w:val="24"/>
              </w:rPr>
            </w:pPr>
            <w:r>
              <w:rPr>
                <w:rFonts w:hint="eastAsia"/>
                <w:color w:val="000000"/>
                <w:sz w:val="24"/>
                <w:szCs w:val="24"/>
              </w:rPr>
              <w:t>2.</w:t>
            </w:r>
            <w:r>
              <w:rPr>
                <w:color w:val="000000"/>
                <w:sz w:val="24"/>
                <w:szCs w:val="24"/>
              </w:rPr>
              <w:t>1</w:t>
            </w:r>
            <w:r>
              <w:rPr>
                <w:bCs/>
                <w:sz w:val="24"/>
                <w:szCs w:val="24"/>
              </w:rPr>
              <w:t>资料项目</w:t>
            </w:r>
            <w:r>
              <w:rPr>
                <w:rFonts w:hint="eastAsia"/>
                <w:bCs/>
                <w:sz w:val="24"/>
                <w:szCs w:val="24"/>
              </w:rPr>
              <w:t>及</w:t>
            </w:r>
            <w:r>
              <w:rPr>
                <w:bCs/>
                <w:sz w:val="24"/>
                <w:szCs w:val="24"/>
              </w:rPr>
              <w:t>目录是否按</w:t>
            </w:r>
            <w:r>
              <w:rPr>
                <w:rFonts w:hint="eastAsia"/>
                <w:bCs/>
                <w:sz w:val="24"/>
                <w:szCs w:val="24"/>
              </w:rPr>
              <w:t>CTD要求提交</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第__袋</w:t>
            </w:r>
            <w:r>
              <w:rPr>
                <w:bCs/>
                <w:sz w:val="24"/>
                <w:szCs w:val="24"/>
              </w:rPr>
              <w:t>为模块一</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第__袋</w:t>
            </w:r>
            <w:r>
              <w:rPr>
                <w:bCs/>
                <w:sz w:val="24"/>
                <w:szCs w:val="24"/>
              </w:rPr>
              <w:t>为模块</w:t>
            </w:r>
            <w:r>
              <w:rPr>
                <w:rFonts w:hint="eastAsia"/>
                <w:bCs/>
                <w:sz w:val="24"/>
                <w:szCs w:val="24"/>
              </w:rPr>
              <w:t>二</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第__袋</w:t>
            </w:r>
            <w:r>
              <w:rPr>
                <w:bCs/>
                <w:sz w:val="24"/>
                <w:szCs w:val="24"/>
              </w:rPr>
              <w:t>为模块</w:t>
            </w:r>
            <w:r>
              <w:rPr>
                <w:rFonts w:hint="eastAsia"/>
                <w:bCs/>
                <w:sz w:val="24"/>
                <w:szCs w:val="24"/>
              </w:rPr>
              <w:t>三</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第__袋</w:t>
            </w:r>
            <w:r>
              <w:rPr>
                <w:bCs/>
                <w:sz w:val="24"/>
                <w:szCs w:val="24"/>
              </w:rPr>
              <w:t>为模块</w:t>
            </w:r>
            <w:r>
              <w:rPr>
                <w:rFonts w:hint="eastAsia"/>
                <w:bCs/>
                <w:sz w:val="24"/>
                <w:szCs w:val="24"/>
              </w:rPr>
              <w:t>四</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r>
              <w:rPr>
                <w:rFonts w:hint="eastAsia"/>
                <w:bCs/>
                <w:sz w:val="24"/>
                <w:szCs w:val="24"/>
              </w:rPr>
              <w:t>第__袋</w:t>
            </w:r>
            <w:r>
              <w:rPr>
                <w:bCs/>
                <w:sz w:val="24"/>
                <w:szCs w:val="24"/>
              </w:rPr>
              <w:t>为模块</w:t>
            </w:r>
            <w:r>
              <w:rPr>
                <w:rFonts w:hint="eastAsia"/>
                <w:bCs/>
                <w:sz w:val="24"/>
                <w:szCs w:val="24"/>
              </w:rPr>
              <w:t>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bCs/>
                <w:sz w:val="24"/>
                <w:szCs w:val="24"/>
              </w:rPr>
              <w:t>2.2</w:t>
            </w:r>
            <w:r>
              <w:rPr>
                <w:rFonts w:hint="eastAsia"/>
                <w:bCs/>
                <w:sz w:val="24"/>
                <w:szCs w:val="24"/>
              </w:rPr>
              <w:t>是否</w:t>
            </w:r>
            <w:r>
              <w:rPr>
                <w:bCs/>
                <w:sz w:val="24"/>
                <w:szCs w:val="24"/>
              </w:rPr>
              <w:t>逐个封面加盖申请人或</w:t>
            </w:r>
            <w:r>
              <w:rPr>
                <w:rFonts w:hint="eastAsia"/>
                <w:bCs/>
                <w:sz w:val="24"/>
                <w:szCs w:val="24"/>
              </w:rPr>
              <w:t>注册代理</w:t>
            </w:r>
            <w:r>
              <w:rPr>
                <w:bCs/>
                <w:sz w:val="24"/>
                <w:szCs w:val="24"/>
              </w:rPr>
              <w:t>机构印章</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bCs/>
                <w:sz w:val="24"/>
                <w:szCs w:val="24"/>
              </w:rPr>
            </w:pPr>
            <w:r>
              <w:rPr>
                <w:rFonts w:hint="eastAsia" w:ascii="宋体" w:hAnsi="宋体"/>
                <w:bCs/>
                <w:sz w:val="24"/>
                <w:szCs w:val="24"/>
              </w:rPr>
              <w:t>□是</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bCs/>
                <w:sz w:val="24"/>
                <w:szCs w:val="24"/>
              </w:rPr>
            </w:pPr>
            <w:r>
              <w:rPr>
                <w:rFonts w:hint="eastAsia" w:ascii="宋体" w:hAnsi="宋体"/>
                <w:bCs/>
                <w:sz w:val="24"/>
                <w:szCs w:val="24"/>
              </w:rPr>
              <w:t>□否</w:t>
            </w: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2.</w:t>
            </w:r>
            <w:r>
              <w:rPr>
                <w:bCs/>
                <w:sz w:val="24"/>
                <w:szCs w:val="24"/>
              </w:rPr>
              <w:t>3</w:t>
            </w:r>
            <w:r>
              <w:rPr>
                <w:rFonts w:hint="eastAsia"/>
                <w:bCs/>
                <w:sz w:val="24"/>
                <w:szCs w:val="24"/>
              </w:rPr>
              <w:t>是否</w:t>
            </w:r>
            <w:r>
              <w:rPr>
                <w:bCs/>
                <w:sz w:val="24"/>
                <w:szCs w:val="24"/>
              </w:rPr>
              <w:t>按照填表说明</w:t>
            </w:r>
            <w:r>
              <w:rPr>
                <w:rFonts w:hint="eastAsia"/>
                <w:bCs/>
                <w:sz w:val="24"/>
                <w:szCs w:val="24"/>
              </w:rPr>
              <w:t>要求</w:t>
            </w:r>
            <w:r>
              <w:rPr>
                <w:bCs/>
                <w:sz w:val="24"/>
                <w:szCs w:val="24"/>
              </w:rPr>
              <w:t>填写申请表</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2.</w:t>
            </w:r>
            <w:r>
              <w:rPr>
                <w:bCs/>
                <w:sz w:val="24"/>
                <w:szCs w:val="24"/>
              </w:rPr>
              <w:t>4</w:t>
            </w:r>
            <w:r>
              <w:rPr>
                <w:rFonts w:hint="eastAsia"/>
                <w:bCs/>
                <w:sz w:val="24"/>
                <w:szCs w:val="24"/>
              </w:rPr>
              <w:t>申请表</w:t>
            </w:r>
            <w:r>
              <w:rPr>
                <w:bCs/>
                <w:sz w:val="24"/>
                <w:szCs w:val="24"/>
              </w:rPr>
              <w:t>填报信息</w:t>
            </w:r>
            <w:r>
              <w:rPr>
                <w:rFonts w:hint="eastAsia"/>
                <w:bCs/>
                <w:sz w:val="24"/>
                <w:szCs w:val="24"/>
              </w:rPr>
              <w:t>是否</w:t>
            </w:r>
            <w:r>
              <w:rPr>
                <w:bCs/>
                <w:sz w:val="24"/>
                <w:szCs w:val="24"/>
              </w:rPr>
              <w:t>与申报资料中内容一致</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0"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2.</w:t>
            </w:r>
            <w:r>
              <w:rPr>
                <w:bCs/>
                <w:sz w:val="24"/>
                <w:szCs w:val="24"/>
              </w:rPr>
              <w:t>5</w:t>
            </w:r>
            <w:r>
              <w:rPr>
                <w:rFonts w:hint="eastAsia"/>
                <w:bCs/>
                <w:sz w:val="24"/>
                <w:szCs w:val="24"/>
              </w:rPr>
              <w:t>申请的药物或者使用的处方、工艺、</w:t>
            </w:r>
            <w:r>
              <w:rPr>
                <w:bCs/>
                <w:sz w:val="24"/>
                <w:szCs w:val="24"/>
              </w:rPr>
              <w:t>用途</w:t>
            </w:r>
            <w:r>
              <w:rPr>
                <w:rFonts w:hint="eastAsia"/>
                <w:bCs/>
                <w:sz w:val="24"/>
                <w:szCs w:val="24"/>
              </w:rPr>
              <w:t>，是否对他人的专利构成侵权</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2.</w:t>
            </w:r>
            <w:r>
              <w:rPr>
                <w:bCs/>
                <w:sz w:val="24"/>
                <w:szCs w:val="24"/>
              </w:rPr>
              <w:t>6</w:t>
            </w:r>
            <w:r>
              <w:rPr>
                <w:rFonts w:hint="eastAsia"/>
                <w:bCs/>
                <w:sz w:val="24"/>
                <w:szCs w:val="24"/>
              </w:rPr>
              <w:t>所提交</w:t>
            </w:r>
            <w:r>
              <w:rPr>
                <w:bCs/>
                <w:sz w:val="24"/>
                <w:szCs w:val="24"/>
              </w:rPr>
              <w:t>证明文件是否均在效期内</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2.</w:t>
            </w:r>
            <w:r>
              <w:rPr>
                <w:bCs/>
                <w:sz w:val="24"/>
                <w:szCs w:val="24"/>
              </w:rPr>
              <w:t>7</w:t>
            </w:r>
            <w:r>
              <w:rPr>
                <w:rFonts w:hint="eastAsia"/>
                <w:bCs/>
                <w:sz w:val="24"/>
                <w:szCs w:val="24"/>
              </w:rPr>
              <w:t>是否</w:t>
            </w:r>
            <w:r>
              <w:rPr>
                <w:bCs/>
                <w:sz w:val="24"/>
                <w:szCs w:val="24"/>
              </w:rPr>
              <w:t>提交</w:t>
            </w:r>
            <w:r>
              <w:rPr>
                <w:rFonts w:hint="eastAsia"/>
                <w:bCs/>
                <w:sz w:val="24"/>
                <w:szCs w:val="24"/>
              </w:rPr>
              <w:t>高风险</w:t>
            </w:r>
            <w:r>
              <w:rPr>
                <w:bCs/>
                <w:sz w:val="24"/>
                <w:szCs w:val="24"/>
              </w:rPr>
              <w:t>产品包材相容性研究资料</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□不适用</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6"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2.</w:t>
            </w:r>
            <w:r>
              <w:rPr>
                <w:bCs/>
                <w:sz w:val="24"/>
                <w:szCs w:val="24"/>
              </w:rPr>
              <w:t>8</w:t>
            </w:r>
            <w:r>
              <w:rPr>
                <w:rFonts w:hint="eastAsia"/>
                <w:bCs/>
                <w:sz w:val="24"/>
                <w:szCs w:val="24"/>
              </w:rPr>
              <w:t>有关</w:t>
            </w:r>
            <w:r>
              <w:rPr>
                <w:bCs/>
                <w:sz w:val="24"/>
                <w:szCs w:val="24"/>
              </w:rPr>
              <w:t>物质与杂质谱分析</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是否</w:t>
            </w:r>
            <w:r>
              <w:rPr>
                <w:bCs/>
                <w:sz w:val="24"/>
                <w:szCs w:val="24"/>
              </w:rPr>
              <w:t>进行杂质谱分析</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是否提交</w:t>
            </w:r>
            <w:r>
              <w:rPr>
                <w:bCs/>
                <w:sz w:val="24"/>
                <w:szCs w:val="24"/>
              </w:rPr>
              <w:t>与原研产品的杂质谱对比研究资料</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是否</w:t>
            </w:r>
            <w:r>
              <w:rPr>
                <w:bCs/>
                <w:sz w:val="24"/>
                <w:szCs w:val="24"/>
              </w:rPr>
              <w:t>提交分析方法学验证资料</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6"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2.</w:t>
            </w:r>
            <w:r>
              <w:rPr>
                <w:bCs/>
                <w:sz w:val="24"/>
                <w:szCs w:val="24"/>
              </w:rPr>
              <w:t>9</w:t>
            </w:r>
            <w:r>
              <w:rPr>
                <w:rFonts w:hint="eastAsia"/>
                <w:bCs/>
                <w:sz w:val="24"/>
                <w:szCs w:val="24"/>
              </w:rPr>
              <w:t>口服</w:t>
            </w:r>
            <w:r>
              <w:rPr>
                <w:bCs/>
                <w:sz w:val="24"/>
                <w:szCs w:val="24"/>
              </w:rPr>
              <w:t>固体制剂是否与原研产品进行了溶出曲线对比</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2.1</w:t>
            </w:r>
            <w:r>
              <w:rPr>
                <w:bCs/>
                <w:sz w:val="24"/>
                <w:szCs w:val="24"/>
              </w:rPr>
              <w:t>0</w:t>
            </w:r>
            <w:r>
              <w:rPr>
                <w:rFonts w:hint="eastAsia"/>
                <w:bCs/>
                <w:sz w:val="24"/>
                <w:szCs w:val="24"/>
              </w:rPr>
              <w:t>是否</w:t>
            </w:r>
            <w:r>
              <w:rPr>
                <w:bCs/>
                <w:sz w:val="24"/>
                <w:szCs w:val="24"/>
              </w:rPr>
              <w:t>提交含量测定分析方法学验证资料</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1"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2.</w:t>
            </w:r>
            <w:r>
              <w:rPr>
                <w:bCs/>
                <w:sz w:val="24"/>
                <w:szCs w:val="24"/>
              </w:rPr>
              <w:t>11</w:t>
            </w:r>
            <w:r>
              <w:rPr>
                <w:rFonts w:hint="eastAsia"/>
                <w:bCs/>
                <w:sz w:val="24"/>
                <w:szCs w:val="24"/>
              </w:rPr>
              <w:t>注册</w:t>
            </w:r>
            <w:r>
              <w:rPr>
                <w:bCs/>
                <w:sz w:val="24"/>
                <w:szCs w:val="24"/>
              </w:rPr>
              <w:t>批生产规模是否符合要求</w:t>
            </w:r>
            <w:r>
              <w:rPr>
                <w:rFonts w:hint="eastAsia"/>
                <w:bCs/>
                <w:sz w:val="24"/>
                <w:szCs w:val="24"/>
              </w:rPr>
              <w:t>，是否</w:t>
            </w:r>
            <w:r>
              <w:rPr>
                <w:bCs/>
                <w:sz w:val="24"/>
                <w:szCs w:val="24"/>
              </w:rPr>
              <w:t>提交</w:t>
            </w:r>
            <w:r>
              <w:rPr>
                <w:rFonts w:hint="eastAsia"/>
                <w:bCs/>
                <w:sz w:val="24"/>
                <w:szCs w:val="24"/>
              </w:rPr>
              <w:t>三个注册批样品</w:t>
            </w:r>
            <w:r>
              <w:rPr>
                <w:bCs/>
                <w:sz w:val="24"/>
                <w:szCs w:val="24"/>
              </w:rPr>
              <w:t>6</w:t>
            </w:r>
            <w:r>
              <w:rPr>
                <w:rFonts w:hint="eastAsia"/>
                <w:bCs/>
                <w:sz w:val="24"/>
                <w:szCs w:val="24"/>
              </w:rPr>
              <w:t>个月稳定性试验数据（仿制药上市</w:t>
            </w:r>
            <w:r>
              <w:rPr>
                <w:bCs/>
                <w:sz w:val="24"/>
                <w:szCs w:val="24"/>
              </w:rPr>
              <w:t>适用</w:t>
            </w:r>
            <w:r>
              <w:rPr>
                <w:rFonts w:hint="eastAsia"/>
                <w:bCs/>
                <w:sz w:val="24"/>
                <w:szCs w:val="24"/>
              </w:rPr>
              <w:t>）</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□不适用</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2.1</w:t>
            </w:r>
            <w:r>
              <w:rPr>
                <w:bCs/>
                <w:sz w:val="24"/>
                <w:szCs w:val="24"/>
              </w:rPr>
              <w:t>2</w:t>
            </w:r>
            <w:r>
              <w:rPr>
                <w:rFonts w:hint="eastAsia"/>
                <w:bCs/>
                <w:sz w:val="24"/>
                <w:szCs w:val="24"/>
              </w:rPr>
              <w:t>临床试验报告封面是否符合临床</w:t>
            </w:r>
            <w:r>
              <w:rPr>
                <w:bCs/>
                <w:sz w:val="24"/>
                <w:szCs w:val="24"/>
              </w:rPr>
              <w:t>试验报告指导原则要求</w:t>
            </w:r>
            <w:r>
              <w:rPr>
                <w:rFonts w:hint="eastAsia"/>
                <w:bCs/>
                <w:sz w:val="24"/>
                <w:szCs w:val="24"/>
              </w:rPr>
              <w:t>，并加盖临床研究机构有效公章</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□不适用</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4957" w:type="dxa"/>
            <w:gridSpan w:val="2"/>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rFonts w:hint="eastAsia"/>
                <w:bCs/>
                <w:sz w:val="24"/>
                <w:szCs w:val="24"/>
              </w:rPr>
              <w:t>2.1</w:t>
            </w:r>
            <w:r>
              <w:rPr>
                <w:bCs/>
                <w:sz w:val="24"/>
                <w:szCs w:val="24"/>
              </w:rPr>
              <w:t xml:space="preserve">3 </w:t>
            </w:r>
            <w:r>
              <w:rPr>
                <w:rFonts w:hint="eastAsia"/>
                <w:bCs/>
                <w:sz w:val="24"/>
                <w:szCs w:val="24"/>
              </w:rPr>
              <w:t>BE试验过程中，参比制剂、原料药、制剂处方、工艺等发生变更的，注册申请人是否通过备案平台如实备案，并提交历次变更及备案资料</w:t>
            </w:r>
          </w:p>
        </w:tc>
        <w:tc>
          <w:tcPr>
            <w:tcW w:w="1701"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□是</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□不适用</w:t>
            </w:r>
          </w:p>
        </w:tc>
        <w:tc>
          <w:tcPr>
            <w:tcW w:w="113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hAnsi="宋体"/>
                <w:bCs/>
                <w:sz w:val="24"/>
                <w:szCs w:val="24"/>
              </w:rPr>
            </w:pPr>
            <w:r>
              <w:rPr>
                <w:rFonts w:hint="eastAsia" w:ascii="宋体" w:hAnsi="宋体"/>
                <w:bCs/>
                <w:sz w:val="24"/>
                <w:szCs w:val="24"/>
              </w:rPr>
              <w:t>□否</w:t>
            </w:r>
          </w:p>
        </w:tc>
        <w:tc>
          <w:tcPr>
            <w:tcW w:w="1984" w:type="dxa"/>
            <w:vAlign w:val="center"/>
          </w:tcPr>
          <w:p>
            <w:pPr>
              <w:keepNext w:val="0"/>
              <w:keepLines w:val="0"/>
              <w:pageBreakBefore w:val="0"/>
              <w:kinsoku/>
              <w:wordWrap/>
              <w:overflowPunct w:val="0"/>
              <w:topLinePunct w:val="0"/>
              <w:autoSpaceDE/>
              <w:autoSpaceDN/>
              <w:bidi w:val="0"/>
              <w:spacing w:line="240" w:lineRule="auto"/>
              <w:ind w:firstLine="0" w:firstLineChars="0"/>
              <w:jc w:val="left"/>
              <w:textAlignment w:val="auto"/>
              <w:rPr>
                <w:rFonts w:asci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3" w:hRule="atLeast"/>
          <w:jc w:val="center"/>
        </w:trPr>
        <w:tc>
          <w:tcPr>
            <w:tcW w:w="9776" w:type="dxa"/>
            <w:gridSpan w:val="5"/>
            <w:vAlign w:val="center"/>
          </w:tcPr>
          <w:p>
            <w:pPr>
              <w:keepNext w:val="0"/>
              <w:keepLines w:val="0"/>
              <w:pageBreakBefore w:val="0"/>
              <w:kinsoku/>
              <w:wordWrap/>
              <w:overflowPunct w:val="0"/>
              <w:topLinePunct w:val="0"/>
              <w:autoSpaceDE/>
              <w:autoSpaceDN/>
              <w:bidi w:val="0"/>
              <w:spacing w:line="240" w:lineRule="auto"/>
              <w:ind w:firstLine="0" w:firstLineChars="0"/>
              <w:jc w:val="center"/>
              <w:textAlignment w:val="auto"/>
              <w:rPr>
                <w:rFonts w:ascii="黑体" w:hAnsi="黑体" w:eastAsia="黑体"/>
                <w:bCs/>
                <w:sz w:val="28"/>
                <w:szCs w:val="24"/>
              </w:rPr>
            </w:pPr>
            <w:r>
              <w:rPr>
                <w:rFonts w:hint="eastAsia" w:ascii="黑体" w:hAnsi="黑体" w:eastAsia="黑体"/>
                <w:bCs/>
                <w:sz w:val="28"/>
                <w:szCs w:val="24"/>
              </w:rPr>
              <w:t>三</w:t>
            </w:r>
            <w:r>
              <w:rPr>
                <w:rFonts w:ascii="黑体" w:hAnsi="黑体" w:eastAsia="黑体"/>
                <w:bCs/>
                <w:sz w:val="28"/>
                <w:szCs w:val="24"/>
              </w:rPr>
              <w:t>、申</w:t>
            </w:r>
            <w:r>
              <w:rPr>
                <w:rFonts w:hint="eastAsia" w:ascii="黑体" w:hAnsi="黑体" w:eastAsia="黑体"/>
                <w:bCs/>
                <w:sz w:val="28"/>
                <w:szCs w:val="24"/>
              </w:rPr>
              <w:t>报</w:t>
            </w:r>
            <w:r>
              <w:rPr>
                <w:rFonts w:ascii="黑体" w:hAnsi="黑体" w:eastAsia="黑体"/>
                <w:bCs/>
                <w:sz w:val="28"/>
                <w:szCs w:val="24"/>
              </w:rPr>
              <w:t>材料真实性承诺</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sz w:val="24"/>
                <w:szCs w:val="24"/>
              </w:rPr>
            </w:pPr>
          </w:p>
          <w:p>
            <w:pPr>
              <w:keepNext w:val="0"/>
              <w:keepLines w:val="0"/>
              <w:pageBreakBefore w:val="0"/>
              <w:kinsoku/>
              <w:wordWrap/>
              <w:overflowPunct w:val="0"/>
              <w:topLinePunct w:val="0"/>
              <w:autoSpaceDE/>
              <w:autoSpaceDN/>
              <w:bidi w:val="0"/>
              <w:spacing w:line="240" w:lineRule="auto"/>
              <w:ind w:firstLine="0" w:firstLineChars="0"/>
              <w:jc w:val="left"/>
              <w:textAlignment w:val="auto"/>
              <w:rPr>
                <w:sz w:val="24"/>
                <w:szCs w:val="24"/>
              </w:rPr>
            </w:pPr>
            <w:r>
              <w:rPr>
                <w:sz w:val="24"/>
                <w:szCs w:val="24"/>
              </w:rPr>
              <w:t>1、本申请遵守国家相关法律、法规和规章的规定。</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sz w:val="24"/>
                <w:szCs w:val="24"/>
              </w:rPr>
            </w:pPr>
            <w:r>
              <w:rPr>
                <w:sz w:val="24"/>
                <w:szCs w:val="24"/>
              </w:rPr>
              <w:t>2、本自查表及所提交的申报资料均真实、来源合法、译文准确。</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sz w:val="24"/>
                <w:szCs w:val="24"/>
              </w:rPr>
            </w:pPr>
            <w:r>
              <w:rPr>
                <w:sz w:val="24"/>
                <w:szCs w:val="24"/>
              </w:rPr>
              <w:t>3、所提交的申报资料与目录内容完全一致。</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sz w:val="24"/>
                <w:szCs w:val="24"/>
              </w:rPr>
            </w:pPr>
            <w:r>
              <w:rPr>
                <w:sz w:val="24"/>
                <w:szCs w:val="24"/>
              </w:rPr>
              <w:t>4、所提交的复印件与原件内容完全一致。</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sz w:val="24"/>
                <w:szCs w:val="24"/>
              </w:rPr>
            </w:pPr>
            <w:r>
              <w:rPr>
                <w:sz w:val="24"/>
                <w:szCs w:val="24"/>
              </w:rPr>
              <w:t>5、所提交的电子文件与</w:t>
            </w:r>
            <w:r>
              <w:rPr>
                <w:rFonts w:hint="eastAsia"/>
                <w:sz w:val="24"/>
                <w:szCs w:val="24"/>
              </w:rPr>
              <w:t>纸质</w:t>
            </w:r>
            <w:r>
              <w:rPr>
                <w:sz w:val="24"/>
                <w:szCs w:val="24"/>
              </w:rPr>
              <w:t>文件内容完全一致。</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sz w:val="24"/>
                <w:szCs w:val="24"/>
              </w:rPr>
            </w:pPr>
            <w:r>
              <w:rPr>
                <w:sz w:val="24"/>
                <w:szCs w:val="24"/>
              </w:rPr>
              <w:t>6、保证按要求在</w:t>
            </w:r>
            <w:r>
              <w:rPr>
                <w:rFonts w:hint="eastAsia"/>
                <w:sz w:val="24"/>
                <w:szCs w:val="24"/>
              </w:rPr>
              <w:t>国家局</w:t>
            </w:r>
            <w:r>
              <w:rPr>
                <w:sz w:val="24"/>
                <w:szCs w:val="24"/>
              </w:rPr>
              <w:t>药品审评中心网站及时上传相关电子资料。</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sz w:val="24"/>
                <w:szCs w:val="24"/>
              </w:rPr>
            </w:pPr>
            <w:r>
              <w:rPr>
                <w:sz w:val="24"/>
                <w:szCs w:val="24"/>
              </w:rPr>
              <w:t>7、如有虚假，申请人本单位愿意承担相应法律责任。</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p>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p>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r>
              <w:rPr>
                <w:bCs/>
                <w:sz w:val="24"/>
                <w:szCs w:val="24"/>
              </w:rPr>
              <w:t>负责人（签字）                       申请人（公章）</w:t>
            </w:r>
          </w:p>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p>
          <w:p>
            <w:pPr>
              <w:keepNext w:val="0"/>
              <w:keepLines w:val="0"/>
              <w:pageBreakBefore w:val="0"/>
              <w:kinsoku/>
              <w:wordWrap/>
              <w:overflowPunct w:val="0"/>
              <w:topLinePunct w:val="0"/>
              <w:autoSpaceDE/>
              <w:autoSpaceDN/>
              <w:bidi w:val="0"/>
              <w:spacing w:line="240" w:lineRule="auto"/>
              <w:ind w:firstLine="0" w:firstLineChars="0"/>
              <w:jc w:val="left"/>
              <w:textAlignment w:val="auto"/>
              <w:rPr>
                <w:bCs/>
                <w:sz w:val="24"/>
                <w:szCs w:val="24"/>
              </w:rPr>
            </w:pPr>
          </w:p>
          <w:p>
            <w:pPr>
              <w:keepNext w:val="0"/>
              <w:keepLines w:val="0"/>
              <w:pageBreakBefore w:val="0"/>
              <w:kinsoku/>
              <w:wordWrap/>
              <w:overflowPunct w:val="0"/>
              <w:topLinePunct w:val="0"/>
              <w:autoSpaceDE/>
              <w:autoSpaceDN/>
              <w:bidi w:val="0"/>
              <w:spacing w:line="240" w:lineRule="auto"/>
              <w:ind w:firstLine="0" w:firstLineChars="0"/>
              <w:jc w:val="left"/>
              <w:textAlignment w:val="auto"/>
              <w:rPr>
                <w:sz w:val="24"/>
                <w:szCs w:val="24"/>
              </w:rPr>
            </w:pPr>
            <w:r>
              <w:rPr>
                <w:bCs/>
                <w:sz w:val="24"/>
                <w:szCs w:val="24"/>
              </w:rPr>
              <w:t>年   月   日</w:t>
            </w:r>
          </w:p>
        </w:tc>
      </w:tr>
    </w:tbl>
    <w:p>
      <w:pPr>
        <w:keepNext w:val="0"/>
        <w:keepLines w:val="0"/>
        <w:pageBreakBefore w:val="0"/>
        <w:kinsoku/>
        <w:wordWrap/>
        <w:overflowPunct w:val="0"/>
        <w:topLinePunct w:val="0"/>
        <w:autoSpaceDE/>
        <w:autoSpaceDN/>
        <w:bidi w:val="0"/>
        <w:adjustRightInd w:val="0"/>
        <w:snapToGrid w:val="0"/>
        <w:spacing w:line="560" w:lineRule="exact"/>
        <w:ind w:firstLine="0" w:firstLineChars="0"/>
        <w:jc w:val="center"/>
        <w:textAlignment w:val="auto"/>
        <w:rPr>
          <w:rFonts w:ascii="仿宋_GB2312"/>
          <w:sz w:val="24"/>
          <w:szCs w:val="24"/>
        </w:rPr>
      </w:pPr>
    </w:p>
    <w:p>
      <w:pPr>
        <w:keepNext w:val="0"/>
        <w:keepLines w:val="0"/>
        <w:pageBreakBefore w:val="0"/>
        <w:widowControl/>
        <w:tabs>
          <w:tab w:val="center" w:pos="4422"/>
        </w:tabs>
        <w:kinsoku/>
        <w:wordWrap/>
        <w:overflowPunct w:val="0"/>
        <w:topLinePunct w:val="0"/>
        <w:autoSpaceDE/>
        <w:autoSpaceDN/>
        <w:bidi w:val="0"/>
        <w:spacing w:line="560" w:lineRule="exact"/>
        <w:ind w:firstLine="0" w:firstLineChars="0"/>
        <w:textAlignment w:val="auto"/>
        <w:rPr>
          <w:rFonts w:ascii="黑体" w:hAnsi="黑体" w:eastAsia="黑体" w:cs="黑体"/>
        </w:rPr>
      </w:pPr>
      <w:r>
        <w:rPr>
          <w:rFonts w:ascii="黑体" w:hAnsi="黑体" w:eastAsia="黑体" w:cs="黑体"/>
        </w:rPr>
        <w:br w:type="page"/>
      </w:r>
      <w:r>
        <w:rPr>
          <w:rFonts w:hint="eastAsia" w:ascii="黑体" w:hAnsi="黑体" w:eastAsia="黑体" w:cs="黑体"/>
        </w:rPr>
        <w:t>附件</w:t>
      </w:r>
      <w:r>
        <w:rPr>
          <w:rFonts w:ascii="黑体" w:hAnsi="黑体" w:eastAsia="黑体" w:cs="黑体"/>
        </w:rPr>
        <w:t>2</w:t>
      </w:r>
    </w:p>
    <w:p>
      <w:pPr>
        <w:keepNext w:val="0"/>
        <w:keepLines w:val="0"/>
        <w:pageBreakBefore w:val="0"/>
        <w:widowControl/>
        <w:tabs>
          <w:tab w:val="center" w:pos="4422"/>
        </w:tabs>
        <w:kinsoku/>
        <w:wordWrap/>
        <w:overflowPunct w:val="0"/>
        <w:topLinePunct w:val="0"/>
        <w:autoSpaceDE/>
        <w:autoSpaceDN/>
        <w:bidi w:val="0"/>
        <w:spacing w:line="560" w:lineRule="exact"/>
        <w:ind w:firstLine="0" w:firstLineChars="0"/>
        <w:textAlignment w:val="auto"/>
        <w:rPr>
          <w:rFonts w:ascii="黑体" w:hAnsi="黑体" w:eastAsia="黑体" w:cs="黑体"/>
        </w:rPr>
      </w:pPr>
    </w:p>
    <w:p>
      <w:pPr>
        <w:pStyle w:val="3"/>
        <w:keepNext w:val="0"/>
        <w:keepLines w:val="0"/>
        <w:pageBreakBefore w:val="0"/>
        <w:tabs>
          <w:tab w:val="left" w:pos="420"/>
        </w:tabs>
        <w:kinsoku/>
        <w:wordWrap/>
        <w:overflowPunct w:val="0"/>
        <w:topLinePunct w:val="0"/>
        <w:autoSpaceDE/>
        <w:autoSpaceDN/>
        <w:bidi w:val="0"/>
        <w:adjustRightInd w:val="0"/>
        <w:snapToGrid w:val="0"/>
        <w:spacing w:before="0" w:after="0" w:line="560" w:lineRule="exact"/>
        <w:ind w:firstLine="0" w:firstLineChars="0"/>
        <w:jc w:val="center"/>
        <w:textAlignment w:val="auto"/>
        <w:rPr>
          <w:rFonts w:ascii="方正小标宋简体" w:hAnsi="方正小标宋简体" w:eastAsia="方正小标宋简体" w:cs="方正小标宋简体"/>
          <w:b w:val="0"/>
          <w:bCs w:val="0"/>
          <w:color w:val="000000"/>
          <w:sz w:val="44"/>
          <w:szCs w:val="44"/>
        </w:rPr>
      </w:pPr>
      <w:bookmarkStart w:id="19" w:name="_Toc36757028"/>
      <w:r>
        <w:rPr>
          <w:rFonts w:hint="eastAsia" w:ascii="方正小标宋简体" w:hAnsi="方正小标宋简体" w:eastAsia="方正小标宋简体" w:cs="方正小标宋简体"/>
          <w:b w:val="0"/>
          <w:bCs w:val="0"/>
          <w:color w:val="000000"/>
          <w:sz w:val="44"/>
          <w:szCs w:val="44"/>
        </w:rPr>
        <w:t>参考</w:t>
      </w:r>
      <w:bookmarkEnd w:id="19"/>
      <w:r>
        <w:rPr>
          <w:rFonts w:hint="eastAsia" w:ascii="方正小标宋简体" w:hAnsi="方正小标宋简体" w:eastAsia="方正小标宋简体" w:cs="方正小标宋简体"/>
          <w:b w:val="0"/>
          <w:bCs w:val="0"/>
          <w:color w:val="000000"/>
          <w:sz w:val="44"/>
          <w:szCs w:val="44"/>
        </w:rPr>
        <w:t>目录</w:t>
      </w:r>
    </w:p>
    <w:p>
      <w:pPr>
        <w:keepNext w:val="0"/>
        <w:keepLines w:val="0"/>
        <w:pageBreakBefore w:val="0"/>
        <w:kinsoku/>
        <w:wordWrap/>
        <w:overflowPunct w:val="0"/>
        <w:topLinePunct w:val="0"/>
        <w:autoSpaceDE/>
        <w:autoSpaceDN/>
        <w:bidi w:val="0"/>
        <w:spacing w:line="560" w:lineRule="exact"/>
        <w:ind w:firstLine="0" w:firstLineChars="0"/>
        <w:textAlignment w:val="auto"/>
      </w:pPr>
    </w:p>
    <w:p>
      <w:pPr>
        <w:keepNext w:val="0"/>
        <w:keepLines w:val="0"/>
        <w:pageBreakBefore w:val="0"/>
        <w:kinsoku/>
        <w:wordWrap/>
        <w:overflowPunct w:val="0"/>
        <w:topLinePunct w:val="0"/>
        <w:autoSpaceDE/>
        <w:autoSpaceDN/>
        <w:bidi w:val="0"/>
        <w:spacing w:line="560" w:lineRule="exact"/>
        <w:ind w:firstLine="0" w:firstLineChars="0"/>
        <w:textAlignment w:val="auto"/>
      </w:pPr>
      <w:r>
        <w:rPr>
          <w:rFonts w:hint="eastAsia"/>
        </w:rPr>
        <w:t>1．《药品</w:t>
      </w:r>
      <w:r>
        <w:t>注册管理办法</w:t>
      </w:r>
      <w:r>
        <w:rPr>
          <w:rFonts w:hint="eastAsia"/>
        </w:rPr>
        <w:t>》（总局</w:t>
      </w:r>
      <w:r>
        <w:t>令</w:t>
      </w:r>
      <w:r>
        <w:rPr>
          <w:rFonts w:hint="eastAsia"/>
        </w:rPr>
        <w:t>27号）</w:t>
      </w:r>
    </w:p>
    <w:p>
      <w:pPr>
        <w:keepNext w:val="0"/>
        <w:keepLines w:val="0"/>
        <w:pageBreakBefore w:val="0"/>
        <w:kinsoku/>
        <w:wordWrap/>
        <w:overflowPunct w:val="0"/>
        <w:topLinePunct w:val="0"/>
        <w:autoSpaceDE/>
        <w:autoSpaceDN/>
        <w:bidi w:val="0"/>
        <w:spacing w:line="560" w:lineRule="exact"/>
        <w:ind w:firstLine="0" w:firstLineChars="0"/>
        <w:textAlignment w:val="auto"/>
      </w:pPr>
      <w:r>
        <w:t>2</w:t>
      </w:r>
      <w:r>
        <w:rPr>
          <w:rFonts w:hint="eastAsia"/>
        </w:rPr>
        <w:t>．《化学</w:t>
      </w:r>
      <w:r>
        <w:t>药品注册分类及申报资料要求</w:t>
      </w:r>
      <w:r>
        <w:rPr>
          <w:rFonts w:hint="eastAsia"/>
        </w:rPr>
        <w:t>》</w:t>
      </w:r>
    </w:p>
    <w:p>
      <w:pPr>
        <w:keepNext w:val="0"/>
        <w:keepLines w:val="0"/>
        <w:pageBreakBefore w:val="0"/>
        <w:kinsoku/>
        <w:wordWrap/>
        <w:overflowPunct w:val="0"/>
        <w:topLinePunct w:val="0"/>
        <w:autoSpaceDE/>
        <w:autoSpaceDN/>
        <w:bidi w:val="0"/>
        <w:spacing w:line="560" w:lineRule="exact"/>
        <w:ind w:firstLine="0" w:firstLineChars="0"/>
        <w:textAlignment w:val="auto"/>
      </w:pPr>
      <w:r>
        <w:t>3</w:t>
      </w:r>
      <w:r>
        <w:rPr>
          <w:rFonts w:hint="eastAsia"/>
        </w:rPr>
        <w:t>．《关于发布&lt;</w:t>
      </w:r>
      <w:r>
        <w:t>M4</w:t>
      </w:r>
      <w:r>
        <w:rPr>
          <w:rFonts w:hint="eastAsia"/>
        </w:rPr>
        <w:t>：人用药物注册申请通用技术文档（</w:t>
      </w:r>
      <w:r>
        <w:t>CTD</w:t>
      </w:r>
      <w:r>
        <w:rPr>
          <w:rFonts w:hint="eastAsia"/>
        </w:rPr>
        <w:t>）&gt;模块一文件及</w:t>
      </w:r>
      <w:r>
        <w:t>CTD</w:t>
      </w:r>
      <w:r>
        <w:rPr>
          <w:rFonts w:hint="eastAsia"/>
        </w:rPr>
        <w:t>中文版的通告》（</w:t>
      </w:r>
      <w:r>
        <w:t>2019</w:t>
      </w:r>
      <w:r>
        <w:rPr>
          <w:rFonts w:hint="eastAsia"/>
        </w:rPr>
        <w:t>年第</w:t>
      </w:r>
      <w:r>
        <w:t>17</w:t>
      </w:r>
      <w:r>
        <w:rPr>
          <w:rFonts w:hint="eastAsia"/>
        </w:rPr>
        <w:t>号）</w:t>
      </w:r>
    </w:p>
    <w:p>
      <w:pPr>
        <w:keepNext w:val="0"/>
        <w:keepLines w:val="0"/>
        <w:pageBreakBefore w:val="0"/>
        <w:kinsoku/>
        <w:wordWrap/>
        <w:overflowPunct w:val="0"/>
        <w:topLinePunct w:val="0"/>
        <w:autoSpaceDE/>
        <w:autoSpaceDN/>
        <w:bidi w:val="0"/>
        <w:spacing w:line="560" w:lineRule="exact"/>
        <w:ind w:firstLine="0" w:firstLineChars="0"/>
        <w:textAlignment w:val="auto"/>
      </w:pPr>
      <w:r>
        <w:t>4</w:t>
      </w:r>
      <w:r>
        <w:rPr>
          <w:rFonts w:hint="eastAsia"/>
        </w:rPr>
        <w:t>．《</w:t>
      </w:r>
      <w:r>
        <w:t>关于药械组合产品注册有关事宜的通告</w:t>
      </w:r>
      <w:r>
        <w:rPr>
          <w:rFonts w:hint="eastAsia"/>
        </w:rPr>
        <w:t>》</w:t>
      </w:r>
      <w:r>
        <w:t>（</w:t>
      </w:r>
      <w:r>
        <w:rPr>
          <w:rFonts w:hint="eastAsia"/>
        </w:rPr>
        <w:t>2019年</w:t>
      </w:r>
      <w:r>
        <w:t>第</w:t>
      </w:r>
      <w:r>
        <w:rPr>
          <w:rFonts w:hint="eastAsia"/>
        </w:rPr>
        <w:t>16号</w:t>
      </w:r>
      <w:r>
        <w:t>）</w:t>
      </w:r>
    </w:p>
    <w:p>
      <w:pPr>
        <w:keepNext w:val="0"/>
        <w:keepLines w:val="0"/>
        <w:pageBreakBefore w:val="0"/>
        <w:kinsoku/>
        <w:wordWrap/>
        <w:overflowPunct w:val="0"/>
        <w:topLinePunct w:val="0"/>
        <w:autoSpaceDE/>
        <w:autoSpaceDN/>
        <w:bidi w:val="0"/>
        <w:spacing w:line="560" w:lineRule="exact"/>
        <w:ind w:firstLine="0" w:firstLineChars="0"/>
        <w:textAlignment w:val="auto"/>
        <w:rPr>
          <w:rFonts w:ascii="微软雅黑" w:hAnsi="微软雅黑" w:eastAsia="微软雅黑"/>
          <w:color w:val="333333"/>
          <w:sz w:val="39"/>
          <w:szCs w:val="39"/>
        </w:rPr>
      </w:pPr>
      <w:r>
        <w:t>5</w:t>
      </w:r>
      <w:r>
        <w:rPr>
          <w:rFonts w:hint="eastAsia"/>
        </w:rPr>
        <w:t>．《关于发布化学仿制药参比制剂遴选与确定程序的公告》（2019年第25号）</w:t>
      </w:r>
    </w:p>
    <w:p>
      <w:pPr>
        <w:keepNext w:val="0"/>
        <w:keepLines w:val="0"/>
        <w:pageBreakBefore w:val="0"/>
        <w:kinsoku/>
        <w:wordWrap/>
        <w:overflowPunct w:val="0"/>
        <w:topLinePunct w:val="0"/>
        <w:autoSpaceDE/>
        <w:autoSpaceDN/>
        <w:bidi w:val="0"/>
        <w:spacing w:line="560" w:lineRule="exact"/>
        <w:ind w:firstLine="0" w:firstLineChars="0"/>
        <w:textAlignment w:val="auto"/>
      </w:pPr>
      <w:r>
        <w:t>6</w:t>
      </w:r>
      <w:r>
        <w:rPr>
          <w:rFonts w:hint="eastAsia"/>
        </w:rPr>
        <w:t>．《关于取消36项证明事项的公告》（2019年第34号）</w:t>
      </w:r>
    </w:p>
    <w:p>
      <w:pPr>
        <w:keepNext w:val="0"/>
        <w:keepLines w:val="0"/>
        <w:pageBreakBefore w:val="0"/>
        <w:kinsoku/>
        <w:wordWrap/>
        <w:overflowPunct w:val="0"/>
        <w:topLinePunct w:val="0"/>
        <w:autoSpaceDE/>
        <w:autoSpaceDN/>
        <w:bidi w:val="0"/>
        <w:spacing w:line="560" w:lineRule="exact"/>
        <w:ind w:firstLine="0" w:firstLineChars="0"/>
        <w:textAlignment w:val="auto"/>
      </w:pPr>
      <w:r>
        <w:t>7</w:t>
      </w:r>
      <w:r>
        <w:rPr>
          <w:rFonts w:hint="eastAsia"/>
        </w:rPr>
        <w:t>．《关于取消16项证明事项的公告（第二批）》（2019年第55号）</w:t>
      </w:r>
    </w:p>
    <w:p>
      <w:pPr>
        <w:keepNext w:val="0"/>
        <w:keepLines w:val="0"/>
        <w:pageBreakBefore w:val="0"/>
        <w:kinsoku/>
        <w:wordWrap/>
        <w:overflowPunct w:val="0"/>
        <w:topLinePunct w:val="0"/>
        <w:autoSpaceDE/>
        <w:autoSpaceDN/>
        <w:bidi w:val="0"/>
        <w:spacing w:line="560" w:lineRule="exact"/>
        <w:ind w:firstLine="0" w:firstLineChars="0"/>
        <w:textAlignment w:val="auto"/>
      </w:pPr>
      <w:r>
        <w:t>8</w:t>
      </w:r>
      <w:r>
        <w:rPr>
          <w:rFonts w:hint="eastAsia"/>
        </w:rPr>
        <w:t xml:space="preserve">．《关于取消68项证明事项的公告（第三批）》(2019年第102号) </w:t>
      </w:r>
    </w:p>
    <w:p>
      <w:pPr>
        <w:keepNext w:val="0"/>
        <w:keepLines w:val="0"/>
        <w:pageBreakBefore w:val="0"/>
        <w:kinsoku/>
        <w:wordWrap/>
        <w:overflowPunct w:val="0"/>
        <w:topLinePunct w:val="0"/>
        <w:autoSpaceDE/>
        <w:autoSpaceDN/>
        <w:bidi w:val="0"/>
        <w:spacing w:line="560" w:lineRule="exact"/>
        <w:ind w:firstLine="0" w:firstLineChars="0"/>
        <w:textAlignment w:val="auto"/>
      </w:pPr>
      <w:r>
        <w:t>9</w:t>
      </w:r>
      <w:r>
        <w:rPr>
          <w:rFonts w:hint="eastAsia"/>
        </w:rPr>
        <w:t>．《关于</w:t>
      </w:r>
      <w:r>
        <w:t>调整化学仿制药长期稳定性研究申报资料</w:t>
      </w:r>
      <w:r>
        <w:rPr>
          <w:rFonts w:hint="eastAsia"/>
        </w:rPr>
        <w:t>要求</w:t>
      </w:r>
      <w:r>
        <w:t>的通告</w:t>
      </w:r>
      <w:r>
        <w:rPr>
          <w:rFonts w:hint="eastAsia"/>
        </w:rPr>
        <w:t>》（2018年</w:t>
      </w:r>
      <w:r>
        <w:t>第</w:t>
      </w:r>
      <w:r>
        <w:rPr>
          <w:rFonts w:hint="eastAsia"/>
        </w:rPr>
        <w:t>82号）</w:t>
      </w:r>
    </w:p>
    <w:p>
      <w:pPr>
        <w:keepNext w:val="0"/>
        <w:keepLines w:val="0"/>
        <w:pageBreakBefore w:val="0"/>
        <w:kinsoku/>
        <w:wordWrap/>
        <w:overflowPunct w:val="0"/>
        <w:topLinePunct w:val="0"/>
        <w:autoSpaceDE/>
        <w:autoSpaceDN/>
        <w:bidi w:val="0"/>
        <w:spacing w:line="560" w:lineRule="exact"/>
        <w:ind w:firstLine="0" w:firstLineChars="0"/>
        <w:textAlignment w:val="auto"/>
      </w:pPr>
      <w:r>
        <w:t>10</w:t>
      </w:r>
      <w:r>
        <w:rPr>
          <w:rFonts w:hint="eastAsia"/>
        </w:rPr>
        <w:t>．《药审中心化学</w:t>
      </w:r>
      <w:r>
        <w:t>仿制药注册批生产规模的一般性要求（</w:t>
      </w:r>
      <w:r>
        <w:rPr>
          <w:rFonts w:hint="eastAsia"/>
        </w:rPr>
        <w:t>试行</w:t>
      </w:r>
      <w:r>
        <w:t>）</w:t>
      </w:r>
      <w:r>
        <w:rPr>
          <w:rFonts w:hint="eastAsia"/>
        </w:rPr>
        <w:t>》</w:t>
      </w:r>
    </w:p>
    <w:p>
      <w:pPr>
        <w:keepNext w:val="0"/>
        <w:keepLines w:val="0"/>
        <w:pageBreakBefore w:val="0"/>
        <w:kinsoku/>
        <w:wordWrap/>
        <w:overflowPunct w:val="0"/>
        <w:topLinePunct w:val="0"/>
        <w:autoSpaceDE/>
        <w:autoSpaceDN/>
        <w:bidi w:val="0"/>
        <w:spacing w:line="560" w:lineRule="exact"/>
        <w:ind w:firstLine="0" w:firstLineChars="0"/>
        <w:textAlignment w:val="auto"/>
      </w:pPr>
    </w:p>
    <w:sectPr>
      <w:footerReference r:id="rId11" w:type="default"/>
      <w:footerReference r:id="rId12" w:type="even"/>
      <w:pgSz w:w="11906" w:h="16838"/>
      <w:pgMar w:top="1814" w:right="1531" w:bottom="1814" w:left="1531" w:header="851" w:footer="1077"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9321882"/>
    </w:sdtPr>
    <w:sdtContent>
      <w:p>
        <w:pPr>
          <w:pStyle w:val="13"/>
          <w:ind w:firstLine="360"/>
          <w:jc w:val="center"/>
        </w:pPr>
        <w:r>
          <w:fldChar w:fldCharType="begin"/>
        </w:r>
        <w:r>
          <w:instrText xml:space="preserve">PAGE   \* MERGEFORMAT</w:instrText>
        </w:r>
        <w:r>
          <w:fldChar w:fldCharType="separate"/>
        </w:r>
        <w:r>
          <w:rPr>
            <w:lang w:val="zh-CN"/>
          </w:rPr>
          <w:t>15</w:t>
        </w:r>
        <w:r>
          <w:fldChar w:fldCharType="end"/>
        </w:r>
      </w:p>
    </w:sdtContent>
  </w:sdt>
  <w:p>
    <w:pPr>
      <w:pStyle w:val="13"/>
      <w:ind w:firstLine="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0771257"/>
    </w:sdtPr>
    <w:sdtContent>
      <w:p>
        <w:pPr>
          <w:pStyle w:val="13"/>
          <w:ind w:firstLine="360"/>
          <w:jc w:val="center"/>
        </w:pPr>
        <w:r>
          <w:fldChar w:fldCharType="begin"/>
        </w:r>
        <w:r>
          <w:instrText xml:space="preserve">PAGE   \* MERGEFORMAT</w:instrText>
        </w:r>
        <w:r>
          <w:fldChar w:fldCharType="separate"/>
        </w:r>
        <w:r>
          <w:rPr>
            <w:lang w:val="zh-CN"/>
          </w:rPr>
          <w:t>16</w:t>
        </w:r>
        <w:r>
          <w:fldChar w:fldCharType="end"/>
        </w:r>
      </w:p>
    </w:sdtContent>
  </w:sdt>
  <w:p>
    <w:pPr>
      <w:pStyle w:val="1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6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bordersDoNotSurroundHeader w:val="1"/>
  <w:bordersDoNotSurroundFooter w:val="1"/>
  <w:documentProtection w:enforcement="0"/>
  <w:defaultTabStop w:val="420"/>
  <w:evenAndOddHeaders w:val="1"/>
  <w:drawingGridHorizontalSpacing w:val="160"/>
  <w:drawingGridVerticalSpacing w:val="218"/>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7B6"/>
    <w:rsid w:val="00000296"/>
    <w:rsid w:val="00004039"/>
    <w:rsid w:val="00004B46"/>
    <w:rsid w:val="00006C8D"/>
    <w:rsid w:val="00010ED6"/>
    <w:rsid w:val="000121FB"/>
    <w:rsid w:val="00015165"/>
    <w:rsid w:val="00015C1C"/>
    <w:rsid w:val="0001755F"/>
    <w:rsid w:val="000218E6"/>
    <w:rsid w:val="00022896"/>
    <w:rsid w:val="00027E16"/>
    <w:rsid w:val="00031AF7"/>
    <w:rsid w:val="000328AB"/>
    <w:rsid w:val="00033185"/>
    <w:rsid w:val="00033410"/>
    <w:rsid w:val="00033B6F"/>
    <w:rsid w:val="000354BD"/>
    <w:rsid w:val="00035792"/>
    <w:rsid w:val="00041489"/>
    <w:rsid w:val="00043A9D"/>
    <w:rsid w:val="00044408"/>
    <w:rsid w:val="00045FB1"/>
    <w:rsid w:val="000465DF"/>
    <w:rsid w:val="00047440"/>
    <w:rsid w:val="000509F8"/>
    <w:rsid w:val="00050F31"/>
    <w:rsid w:val="00051839"/>
    <w:rsid w:val="0005412A"/>
    <w:rsid w:val="00065FE2"/>
    <w:rsid w:val="000702BD"/>
    <w:rsid w:val="000721B9"/>
    <w:rsid w:val="00072900"/>
    <w:rsid w:val="00073E14"/>
    <w:rsid w:val="0007608F"/>
    <w:rsid w:val="000807CF"/>
    <w:rsid w:val="00081897"/>
    <w:rsid w:val="000829B1"/>
    <w:rsid w:val="000830C6"/>
    <w:rsid w:val="0008493B"/>
    <w:rsid w:val="000919A0"/>
    <w:rsid w:val="00092F73"/>
    <w:rsid w:val="000933C4"/>
    <w:rsid w:val="000938E2"/>
    <w:rsid w:val="00094A96"/>
    <w:rsid w:val="00094D77"/>
    <w:rsid w:val="0009555B"/>
    <w:rsid w:val="00095771"/>
    <w:rsid w:val="0009579E"/>
    <w:rsid w:val="00095FFD"/>
    <w:rsid w:val="000966CF"/>
    <w:rsid w:val="00097F6F"/>
    <w:rsid w:val="000A1C8C"/>
    <w:rsid w:val="000A21EC"/>
    <w:rsid w:val="000A56B1"/>
    <w:rsid w:val="000B090D"/>
    <w:rsid w:val="000B2201"/>
    <w:rsid w:val="000B5674"/>
    <w:rsid w:val="000B697C"/>
    <w:rsid w:val="000B69C0"/>
    <w:rsid w:val="000B6BFF"/>
    <w:rsid w:val="000C1DEE"/>
    <w:rsid w:val="000C2CF8"/>
    <w:rsid w:val="000C4E05"/>
    <w:rsid w:val="000C734E"/>
    <w:rsid w:val="000C75E3"/>
    <w:rsid w:val="000D0596"/>
    <w:rsid w:val="000D0771"/>
    <w:rsid w:val="000D49E4"/>
    <w:rsid w:val="000D7D9E"/>
    <w:rsid w:val="000D7DDB"/>
    <w:rsid w:val="000E0EAA"/>
    <w:rsid w:val="000E1002"/>
    <w:rsid w:val="000E1291"/>
    <w:rsid w:val="000E12F7"/>
    <w:rsid w:val="000E58A4"/>
    <w:rsid w:val="000E6E45"/>
    <w:rsid w:val="000E7198"/>
    <w:rsid w:val="000F18B5"/>
    <w:rsid w:val="000F3AB5"/>
    <w:rsid w:val="00100C29"/>
    <w:rsid w:val="001016B0"/>
    <w:rsid w:val="001018C0"/>
    <w:rsid w:val="00106A7B"/>
    <w:rsid w:val="00111070"/>
    <w:rsid w:val="00112345"/>
    <w:rsid w:val="001141D0"/>
    <w:rsid w:val="00117838"/>
    <w:rsid w:val="0012020D"/>
    <w:rsid w:val="001202C8"/>
    <w:rsid w:val="0012104E"/>
    <w:rsid w:val="0012244F"/>
    <w:rsid w:val="00125079"/>
    <w:rsid w:val="00130FCA"/>
    <w:rsid w:val="001314F9"/>
    <w:rsid w:val="001316D0"/>
    <w:rsid w:val="00140BA2"/>
    <w:rsid w:val="00140DD6"/>
    <w:rsid w:val="00140E40"/>
    <w:rsid w:val="0014239F"/>
    <w:rsid w:val="001428EB"/>
    <w:rsid w:val="00142D28"/>
    <w:rsid w:val="00142EE0"/>
    <w:rsid w:val="0014413B"/>
    <w:rsid w:val="00145FE4"/>
    <w:rsid w:val="00147181"/>
    <w:rsid w:val="001500DD"/>
    <w:rsid w:val="001539E5"/>
    <w:rsid w:val="00153E12"/>
    <w:rsid w:val="00154390"/>
    <w:rsid w:val="00157440"/>
    <w:rsid w:val="00157CF6"/>
    <w:rsid w:val="00161196"/>
    <w:rsid w:val="001651DD"/>
    <w:rsid w:val="00165898"/>
    <w:rsid w:val="00165BD8"/>
    <w:rsid w:val="001660C7"/>
    <w:rsid w:val="001670BA"/>
    <w:rsid w:val="00173DA5"/>
    <w:rsid w:val="00174644"/>
    <w:rsid w:val="00174C46"/>
    <w:rsid w:val="00176BEC"/>
    <w:rsid w:val="001829BD"/>
    <w:rsid w:val="00182DEC"/>
    <w:rsid w:val="00183974"/>
    <w:rsid w:val="00185EB5"/>
    <w:rsid w:val="00190F8F"/>
    <w:rsid w:val="0019129B"/>
    <w:rsid w:val="00193A79"/>
    <w:rsid w:val="0019523E"/>
    <w:rsid w:val="001A1738"/>
    <w:rsid w:val="001A1919"/>
    <w:rsid w:val="001A2767"/>
    <w:rsid w:val="001A321C"/>
    <w:rsid w:val="001A4723"/>
    <w:rsid w:val="001A47C2"/>
    <w:rsid w:val="001A603E"/>
    <w:rsid w:val="001A6E2F"/>
    <w:rsid w:val="001B16AB"/>
    <w:rsid w:val="001B3E99"/>
    <w:rsid w:val="001B3F64"/>
    <w:rsid w:val="001B45DF"/>
    <w:rsid w:val="001B55B5"/>
    <w:rsid w:val="001B5FAF"/>
    <w:rsid w:val="001B74C9"/>
    <w:rsid w:val="001B7B87"/>
    <w:rsid w:val="001B7EF0"/>
    <w:rsid w:val="001C26B4"/>
    <w:rsid w:val="001C34E0"/>
    <w:rsid w:val="001D019A"/>
    <w:rsid w:val="001D2920"/>
    <w:rsid w:val="001D2AA8"/>
    <w:rsid w:val="001D3B93"/>
    <w:rsid w:val="001D3FA5"/>
    <w:rsid w:val="001D4699"/>
    <w:rsid w:val="001E58B8"/>
    <w:rsid w:val="001E6A5A"/>
    <w:rsid w:val="001F03F0"/>
    <w:rsid w:val="001F3119"/>
    <w:rsid w:val="001F5FC1"/>
    <w:rsid w:val="0020060B"/>
    <w:rsid w:val="00201503"/>
    <w:rsid w:val="00205C3E"/>
    <w:rsid w:val="0021040B"/>
    <w:rsid w:val="002130C5"/>
    <w:rsid w:val="00214FC9"/>
    <w:rsid w:val="00215DE6"/>
    <w:rsid w:val="0021791F"/>
    <w:rsid w:val="0022216D"/>
    <w:rsid w:val="00222382"/>
    <w:rsid w:val="002228DD"/>
    <w:rsid w:val="00224FA6"/>
    <w:rsid w:val="00225344"/>
    <w:rsid w:val="00230DAD"/>
    <w:rsid w:val="00231346"/>
    <w:rsid w:val="002323B9"/>
    <w:rsid w:val="00233A8C"/>
    <w:rsid w:val="00233EE2"/>
    <w:rsid w:val="002353B1"/>
    <w:rsid w:val="002361DB"/>
    <w:rsid w:val="00237CEF"/>
    <w:rsid w:val="002406C5"/>
    <w:rsid w:val="00240963"/>
    <w:rsid w:val="002414B3"/>
    <w:rsid w:val="002428AB"/>
    <w:rsid w:val="0024366C"/>
    <w:rsid w:val="00244002"/>
    <w:rsid w:val="002451EC"/>
    <w:rsid w:val="002456E5"/>
    <w:rsid w:val="0024741B"/>
    <w:rsid w:val="00251ED4"/>
    <w:rsid w:val="00255906"/>
    <w:rsid w:val="00256378"/>
    <w:rsid w:val="0025699B"/>
    <w:rsid w:val="002617E0"/>
    <w:rsid w:val="002676BA"/>
    <w:rsid w:val="0027096C"/>
    <w:rsid w:val="002726E8"/>
    <w:rsid w:val="002746D2"/>
    <w:rsid w:val="00274F5D"/>
    <w:rsid w:val="00275B5E"/>
    <w:rsid w:val="002764D6"/>
    <w:rsid w:val="00281AD2"/>
    <w:rsid w:val="0028499F"/>
    <w:rsid w:val="00287C99"/>
    <w:rsid w:val="002908AF"/>
    <w:rsid w:val="00290D8E"/>
    <w:rsid w:val="002919B9"/>
    <w:rsid w:val="00292411"/>
    <w:rsid w:val="00293A30"/>
    <w:rsid w:val="00293BF0"/>
    <w:rsid w:val="00295DC3"/>
    <w:rsid w:val="00297C4C"/>
    <w:rsid w:val="002A0D98"/>
    <w:rsid w:val="002A17E5"/>
    <w:rsid w:val="002A20FB"/>
    <w:rsid w:val="002A2222"/>
    <w:rsid w:val="002A2326"/>
    <w:rsid w:val="002A25E1"/>
    <w:rsid w:val="002A4665"/>
    <w:rsid w:val="002A5878"/>
    <w:rsid w:val="002A5C7E"/>
    <w:rsid w:val="002A7D82"/>
    <w:rsid w:val="002B0CF2"/>
    <w:rsid w:val="002C1593"/>
    <w:rsid w:val="002C38E9"/>
    <w:rsid w:val="002C43A6"/>
    <w:rsid w:val="002C6BDA"/>
    <w:rsid w:val="002D0585"/>
    <w:rsid w:val="002D193E"/>
    <w:rsid w:val="002D3370"/>
    <w:rsid w:val="002D3684"/>
    <w:rsid w:val="002D5905"/>
    <w:rsid w:val="002D60B7"/>
    <w:rsid w:val="002E2C4A"/>
    <w:rsid w:val="002E445E"/>
    <w:rsid w:val="002F12CC"/>
    <w:rsid w:val="002F3C9B"/>
    <w:rsid w:val="002F54BE"/>
    <w:rsid w:val="003008B4"/>
    <w:rsid w:val="00301373"/>
    <w:rsid w:val="00302210"/>
    <w:rsid w:val="00303222"/>
    <w:rsid w:val="00303377"/>
    <w:rsid w:val="003050CA"/>
    <w:rsid w:val="00305C9F"/>
    <w:rsid w:val="00305CF5"/>
    <w:rsid w:val="00310080"/>
    <w:rsid w:val="00312370"/>
    <w:rsid w:val="00313CFB"/>
    <w:rsid w:val="00314796"/>
    <w:rsid w:val="00314826"/>
    <w:rsid w:val="00316E67"/>
    <w:rsid w:val="00322056"/>
    <w:rsid w:val="003225A7"/>
    <w:rsid w:val="003234F4"/>
    <w:rsid w:val="00323A83"/>
    <w:rsid w:val="00330414"/>
    <w:rsid w:val="00331462"/>
    <w:rsid w:val="00333906"/>
    <w:rsid w:val="00333AA6"/>
    <w:rsid w:val="003342BB"/>
    <w:rsid w:val="0033658B"/>
    <w:rsid w:val="00336BE5"/>
    <w:rsid w:val="00336D1F"/>
    <w:rsid w:val="00342F36"/>
    <w:rsid w:val="00343313"/>
    <w:rsid w:val="00344B7A"/>
    <w:rsid w:val="00346900"/>
    <w:rsid w:val="00346F5C"/>
    <w:rsid w:val="0034781A"/>
    <w:rsid w:val="00347BA7"/>
    <w:rsid w:val="00351B1B"/>
    <w:rsid w:val="00351FF7"/>
    <w:rsid w:val="00352080"/>
    <w:rsid w:val="00354119"/>
    <w:rsid w:val="00355EE9"/>
    <w:rsid w:val="00355F85"/>
    <w:rsid w:val="00355FAD"/>
    <w:rsid w:val="0035607A"/>
    <w:rsid w:val="003602B5"/>
    <w:rsid w:val="00363036"/>
    <w:rsid w:val="003717BC"/>
    <w:rsid w:val="00371B54"/>
    <w:rsid w:val="00371DFB"/>
    <w:rsid w:val="00372407"/>
    <w:rsid w:val="00374349"/>
    <w:rsid w:val="00376276"/>
    <w:rsid w:val="00376C9C"/>
    <w:rsid w:val="00381F48"/>
    <w:rsid w:val="00383273"/>
    <w:rsid w:val="003861BD"/>
    <w:rsid w:val="003907D9"/>
    <w:rsid w:val="00392328"/>
    <w:rsid w:val="00393CCB"/>
    <w:rsid w:val="00394191"/>
    <w:rsid w:val="00395096"/>
    <w:rsid w:val="00397083"/>
    <w:rsid w:val="003A0924"/>
    <w:rsid w:val="003A0F8B"/>
    <w:rsid w:val="003A2E37"/>
    <w:rsid w:val="003A475F"/>
    <w:rsid w:val="003A4D73"/>
    <w:rsid w:val="003A5502"/>
    <w:rsid w:val="003B08AB"/>
    <w:rsid w:val="003B3BC7"/>
    <w:rsid w:val="003B5A02"/>
    <w:rsid w:val="003C0C5E"/>
    <w:rsid w:val="003C1938"/>
    <w:rsid w:val="003C374B"/>
    <w:rsid w:val="003C3F2B"/>
    <w:rsid w:val="003C5C09"/>
    <w:rsid w:val="003C7432"/>
    <w:rsid w:val="003D0862"/>
    <w:rsid w:val="003D10F8"/>
    <w:rsid w:val="003D1814"/>
    <w:rsid w:val="003D3864"/>
    <w:rsid w:val="003D426F"/>
    <w:rsid w:val="003D4B74"/>
    <w:rsid w:val="003E11D0"/>
    <w:rsid w:val="003E1D24"/>
    <w:rsid w:val="003E393E"/>
    <w:rsid w:val="003E6717"/>
    <w:rsid w:val="003F48F4"/>
    <w:rsid w:val="00400249"/>
    <w:rsid w:val="00401772"/>
    <w:rsid w:val="004018C4"/>
    <w:rsid w:val="00402895"/>
    <w:rsid w:val="0040301B"/>
    <w:rsid w:val="00406248"/>
    <w:rsid w:val="0040665F"/>
    <w:rsid w:val="004066D1"/>
    <w:rsid w:val="004077B9"/>
    <w:rsid w:val="00407BA9"/>
    <w:rsid w:val="00410DA4"/>
    <w:rsid w:val="0041282B"/>
    <w:rsid w:val="004159A5"/>
    <w:rsid w:val="00415AE1"/>
    <w:rsid w:val="00416A8E"/>
    <w:rsid w:val="00420271"/>
    <w:rsid w:val="004258CA"/>
    <w:rsid w:val="00426458"/>
    <w:rsid w:val="00426816"/>
    <w:rsid w:val="00430B88"/>
    <w:rsid w:val="00434C80"/>
    <w:rsid w:val="0043666A"/>
    <w:rsid w:val="00436C92"/>
    <w:rsid w:val="00437831"/>
    <w:rsid w:val="004417BE"/>
    <w:rsid w:val="004434BD"/>
    <w:rsid w:val="00444630"/>
    <w:rsid w:val="00447D58"/>
    <w:rsid w:val="00450DF9"/>
    <w:rsid w:val="004528A7"/>
    <w:rsid w:val="0045381E"/>
    <w:rsid w:val="00454AD5"/>
    <w:rsid w:val="00455EE5"/>
    <w:rsid w:val="00456C2E"/>
    <w:rsid w:val="004578FF"/>
    <w:rsid w:val="00463662"/>
    <w:rsid w:val="00464799"/>
    <w:rsid w:val="00464C09"/>
    <w:rsid w:val="00467038"/>
    <w:rsid w:val="004675C5"/>
    <w:rsid w:val="00472874"/>
    <w:rsid w:val="00474469"/>
    <w:rsid w:val="004749A9"/>
    <w:rsid w:val="00480255"/>
    <w:rsid w:val="00482239"/>
    <w:rsid w:val="004830F5"/>
    <w:rsid w:val="004831F0"/>
    <w:rsid w:val="00490132"/>
    <w:rsid w:val="00492A79"/>
    <w:rsid w:val="004955E3"/>
    <w:rsid w:val="004A2AEA"/>
    <w:rsid w:val="004A4FF1"/>
    <w:rsid w:val="004A529F"/>
    <w:rsid w:val="004A5886"/>
    <w:rsid w:val="004B03FA"/>
    <w:rsid w:val="004B15E1"/>
    <w:rsid w:val="004B7C47"/>
    <w:rsid w:val="004C4545"/>
    <w:rsid w:val="004C668C"/>
    <w:rsid w:val="004C6B97"/>
    <w:rsid w:val="004C771F"/>
    <w:rsid w:val="004D0550"/>
    <w:rsid w:val="004D0E05"/>
    <w:rsid w:val="004D13D0"/>
    <w:rsid w:val="004D1ACD"/>
    <w:rsid w:val="004D21CC"/>
    <w:rsid w:val="004D2382"/>
    <w:rsid w:val="004D467F"/>
    <w:rsid w:val="004D63E8"/>
    <w:rsid w:val="004E3277"/>
    <w:rsid w:val="004E3E28"/>
    <w:rsid w:val="004E49E5"/>
    <w:rsid w:val="004E5796"/>
    <w:rsid w:val="004E6452"/>
    <w:rsid w:val="004F207A"/>
    <w:rsid w:val="004F20F5"/>
    <w:rsid w:val="004F3AAE"/>
    <w:rsid w:val="004F430B"/>
    <w:rsid w:val="004F43ED"/>
    <w:rsid w:val="004F5BB0"/>
    <w:rsid w:val="004F61E3"/>
    <w:rsid w:val="00500B58"/>
    <w:rsid w:val="00500EB7"/>
    <w:rsid w:val="00504F2D"/>
    <w:rsid w:val="00506759"/>
    <w:rsid w:val="00510488"/>
    <w:rsid w:val="005125BD"/>
    <w:rsid w:val="00512D93"/>
    <w:rsid w:val="005132C3"/>
    <w:rsid w:val="00515C4D"/>
    <w:rsid w:val="005175FA"/>
    <w:rsid w:val="005217ED"/>
    <w:rsid w:val="00521C36"/>
    <w:rsid w:val="005226E4"/>
    <w:rsid w:val="00523C07"/>
    <w:rsid w:val="005257BA"/>
    <w:rsid w:val="005258B7"/>
    <w:rsid w:val="00525BF2"/>
    <w:rsid w:val="005261AC"/>
    <w:rsid w:val="005268A7"/>
    <w:rsid w:val="00526F07"/>
    <w:rsid w:val="00530245"/>
    <w:rsid w:val="0053147A"/>
    <w:rsid w:val="0053380E"/>
    <w:rsid w:val="00541CB2"/>
    <w:rsid w:val="0054326A"/>
    <w:rsid w:val="00544E77"/>
    <w:rsid w:val="00545799"/>
    <w:rsid w:val="00546F65"/>
    <w:rsid w:val="00550DA2"/>
    <w:rsid w:val="0055186B"/>
    <w:rsid w:val="005542A3"/>
    <w:rsid w:val="005602E5"/>
    <w:rsid w:val="00560460"/>
    <w:rsid w:val="00562048"/>
    <w:rsid w:val="00562A1E"/>
    <w:rsid w:val="00562CD9"/>
    <w:rsid w:val="005655E1"/>
    <w:rsid w:val="00573C53"/>
    <w:rsid w:val="00575BB8"/>
    <w:rsid w:val="00576A7F"/>
    <w:rsid w:val="00580CCB"/>
    <w:rsid w:val="00581A2E"/>
    <w:rsid w:val="00582FD4"/>
    <w:rsid w:val="005830FF"/>
    <w:rsid w:val="005919FD"/>
    <w:rsid w:val="00593D50"/>
    <w:rsid w:val="00595C2E"/>
    <w:rsid w:val="00595F46"/>
    <w:rsid w:val="005A039E"/>
    <w:rsid w:val="005A0770"/>
    <w:rsid w:val="005A0BDA"/>
    <w:rsid w:val="005A226C"/>
    <w:rsid w:val="005A3C8C"/>
    <w:rsid w:val="005A6D3C"/>
    <w:rsid w:val="005A7606"/>
    <w:rsid w:val="005B2742"/>
    <w:rsid w:val="005B6332"/>
    <w:rsid w:val="005C154B"/>
    <w:rsid w:val="005C17C5"/>
    <w:rsid w:val="005C1CD7"/>
    <w:rsid w:val="005C1FCB"/>
    <w:rsid w:val="005C40F7"/>
    <w:rsid w:val="005C4900"/>
    <w:rsid w:val="005C4D66"/>
    <w:rsid w:val="005C5A04"/>
    <w:rsid w:val="005D0DED"/>
    <w:rsid w:val="005D1478"/>
    <w:rsid w:val="005D2B92"/>
    <w:rsid w:val="005D44FB"/>
    <w:rsid w:val="005E002B"/>
    <w:rsid w:val="005E140C"/>
    <w:rsid w:val="005E2806"/>
    <w:rsid w:val="005E5330"/>
    <w:rsid w:val="005E5473"/>
    <w:rsid w:val="005E7621"/>
    <w:rsid w:val="005F006B"/>
    <w:rsid w:val="005F1EA7"/>
    <w:rsid w:val="005F2818"/>
    <w:rsid w:val="005F6251"/>
    <w:rsid w:val="005F6543"/>
    <w:rsid w:val="005F7D12"/>
    <w:rsid w:val="00603267"/>
    <w:rsid w:val="006110DC"/>
    <w:rsid w:val="00611153"/>
    <w:rsid w:val="00611C92"/>
    <w:rsid w:val="0061225A"/>
    <w:rsid w:val="00613182"/>
    <w:rsid w:val="00613752"/>
    <w:rsid w:val="00613D54"/>
    <w:rsid w:val="00617D4E"/>
    <w:rsid w:val="00620AB5"/>
    <w:rsid w:val="00624339"/>
    <w:rsid w:val="00630E76"/>
    <w:rsid w:val="006361D5"/>
    <w:rsid w:val="00636C77"/>
    <w:rsid w:val="00636FF6"/>
    <w:rsid w:val="00641379"/>
    <w:rsid w:val="00643067"/>
    <w:rsid w:val="0064539A"/>
    <w:rsid w:val="00645463"/>
    <w:rsid w:val="00646037"/>
    <w:rsid w:val="00647BB6"/>
    <w:rsid w:val="00647CDA"/>
    <w:rsid w:val="00650E23"/>
    <w:rsid w:val="006512F1"/>
    <w:rsid w:val="00655149"/>
    <w:rsid w:val="006553D8"/>
    <w:rsid w:val="00662638"/>
    <w:rsid w:val="00663698"/>
    <w:rsid w:val="00666AE0"/>
    <w:rsid w:val="00670919"/>
    <w:rsid w:val="00671527"/>
    <w:rsid w:val="00671858"/>
    <w:rsid w:val="00671CDB"/>
    <w:rsid w:val="00675E1B"/>
    <w:rsid w:val="00676A1D"/>
    <w:rsid w:val="00677080"/>
    <w:rsid w:val="006775E1"/>
    <w:rsid w:val="006813E4"/>
    <w:rsid w:val="006814DC"/>
    <w:rsid w:val="00683266"/>
    <w:rsid w:val="00685006"/>
    <w:rsid w:val="00687C78"/>
    <w:rsid w:val="0069209E"/>
    <w:rsid w:val="00693412"/>
    <w:rsid w:val="00693420"/>
    <w:rsid w:val="006A23D1"/>
    <w:rsid w:val="006A2AE9"/>
    <w:rsid w:val="006A2D69"/>
    <w:rsid w:val="006A7A49"/>
    <w:rsid w:val="006A7DCE"/>
    <w:rsid w:val="006B055F"/>
    <w:rsid w:val="006B3595"/>
    <w:rsid w:val="006B411F"/>
    <w:rsid w:val="006B4511"/>
    <w:rsid w:val="006B72ED"/>
    <w:rsid w:val="006C0A61"/>
    <w:rsid w:val="006C1231"/>
    <w:rsid w:val="006C2123"/>
    <w:rsid w:val="006C25E8"/>
    <w:rsid w:val="006C3649"/>
    <w:rsid w:val="006C5871"/>
    <w:rsid w:val="006C6963"/>
    <w:rsid w:val="006C6A53"/>
    <w:rsid w:val="006D1CFD"/>
    <w:rsid w:val="006D29FB"/>
    <w:rsid w:val="006D3C6E"/>
    <w:rsid w:val="006D429A"/>
    <w:rsid w:val="006D42D7"/>
    <w:rsid w:val="006E0E3D"/>
    <w:rsid w:val="006E0FD0"/>
    <w:rsid w:val="006E110C"/>
    <w:rsid w:val="006E1C87"/>
    <w:rsid w:val="006E3105"/>
    <w:rsid w:val="006E43C5"/>
    <w:rsid w:val="006E46DB"/>
    <w:rsid w:val="006E58D4"/>
    <w:rsid w:val="006E5C68"/>
    <w:rsid w:val="006E7C59"/>
    <w:rsid w:val="006F0673"/>
    <w:rsid w:val="006F4D0F"/>
    <w:rsid w:val="006F5385"/>
    <w:rsid w:val="006F5B2A"/>
    <w:rsid w:val="006F695A"/>
    <w:rsid w:val="00700E54"/>
    <w:rsid w:val="007025DB"/>
    <w:rsid w:val="00705DDC"/>
    <w:rsid w:val="00707324"/>
    <w:rsid w:val="0071229D"/>
    <w:rsid w:val="007123B4"/>
    <w:rsid w:val="007128AB"/>
    <w:rsid w:val="007131A7"/>
    <w:rsid w:val="00720616"/>
    <w:rsid w:val="007210F1"/>
    <w:rsid w:val="00726688"/>
    <w:rsid w:val="007266FA"/>
    <w:rsid w:val="00727395"/>
    <w:rsid w:val="00731C0B"/>
    <w:rsid w:val="00732280"/>
    <w:rsid w:val="00732FED"/>
    <w:rsid w:val="00734ABE"/>
    <w:rsid w:val="00734D7F"/>
    <w:rsid w:val="00740DF7"/>
    <w:rsid w:val="0074103B"/>
    <w:rsid w:val="00741E4A"/>
    <w:rsid w:val="007420B4"/>
    <w:rsid w:val="00742B5D"/>
    <w:rsid w:val="007431A5"/>
    <w:rsid w:val="007442F3"/>
    <w:rsid w:val="00744C84"/>
    <w:rsid w:val="007458CD"/>
    <w:rsid w:val="007478C3"/>
    <w:rsid w:val="00747FE0"/>
    <w:rsid w:val="00751837"/>
    <w:rsid w:val="00751905"/>
    <w:rsid w:val="00754EC3"/>
    <w:rsid w:val="00756897"/>
    <w:rsid w:val="007604C0"/>
    <w:rsid w:val="00761188"/>
    <w:rsid w:val="00762472"/>
    <w:rsid w:val="00762925"/>
    <w:rsid w:val="007642D1"/>
    <w:rsid w:val="0076453D"/>
    <w:rsid w:val="00764EFB"/>
    <w:rsid w:val="00765F68"/>
    <w:rsid w:val="00767835"/>
    <w:rsid w:val="00770152"/>
    <w:rsid w:val="00770438"/>
    <w:rsid w:val="00770690"/>
    <w:rsid w:val="00772323"/>
    <w:rsid w:val="00773460"/>
    <w:rsid w:val="007768F6"/>
    <w:rsid w:val="00780FFA"/>
    <w:rsid w:val="00786DD1"/>
    <w:rsid w:val="00787533"/>
    <w:rsid w:val="007877B4"/>
    <w:rsid w:val="007909F2"/>
    <w:rsid w:val="007923CF"/>
    <w:rsid w:val="00792F43"/>
    <w:rsid w:val="00796372"/>
    <w:rsid w:val="007A17C2"/>
    <w:rsid w:val="007A1A78"/>
    <w:rsid w:val="007A3E1C"/>
    <w:rsid w:val="007A40EF"/>
    <w:rsid w:val="007A5F60"/>
    <w:rsid w:val="007A6B40"/>
    <w:rsid w:val="007B1C15"/>
    <w:rsid w:val="007B462B"/>
    <w:rsid w:val="007C24B1"/>
    <w:rsid w:val="007C391B"/>
    <w:rsid w:val="007C485E"/>
    <w:rsid w:val="007C5A75"/>
    <w:rsid w:val="007C6B7E"/>
    <w:rsid w:val="007C7FBC"/>
    <w:rsid w:val="007D7614"/>
    <w:rsid w:val="007E131B"/>
    <w:rsid w:val="007E278D"/>
    <w:rsid w:val="007E2D0E"/>
    <w:rsid w:val="007E2E3A"/>
    <w:rsid w:val="007E30A6"/>
    <w:rsid w:val="007E3F1D"/>
    <w:rsid w:val="007E7114"/>
    <w:rsid w:val="007E7321"/>
    <w:rsid w:val="007E7A59"/>
    <w:rsid w:val="007F7084"/>
    <w:rsid w:val="007F755D"/>
    <w:rsid w:val="008007E3"/>
    <w:rsid w:val="00804900"/>
    <w:rsid w:val="00804C85"/>
    <w:rsid w:val="00811C44"/>
    <w:rsid w:val="00811DE0"/>
    <w:rsid w:val="00813DDA"/>
    <w:rsid w:val="00815C20"/>
    <w:rsid w:val="0081765A"/>
    <w:rsid w:val="00817943"/>
    <w:rsid w:val="00820992"/>
    <w:rsid w:val="0082230F"/>
    <w:rsid w:val="00823030"/>
    <w:rsid w:val="00823CD0"/>
    <w:rsid w:val="00830593"/>
    <w:rsid w:val="008306A1"/>
    <w:rsid w:val="00830B98"/>
    <w:rsid w:val="0083125D"/>
    <w:rsid w:val="008337B6"/>
    <w:rsid w:val="00833B4C"/>
    <w:rsid w:val="00835879"/>
    <w:rsid w:val="0084318E"/>
    <w:rsid w:val="00845D43"/>
    <w:rsid w:val="00846E28"/>
    <w:rsid w:val="008505D5"/>
    <w:rsid w:val="00850DBC"/>
    <w:rsid w:val="00850DFB"/>
    <w:rsid w:val="00850E61"/>
    <w:rsid w:val="00851702"/>
    <w:rsid w:val="00851B18"/>
    <w:rsid w:val="00851C68"/>
    <w:rsid w:val="00852B51"/>
    <w:rsid w:val="00853572"/>
    <w:rsid w:val="00853FAB"/>
    <w:rsid w:val="00856594"/>
    <w:rsid w:val="008608D2"/>
    <w:rsid w:val="008617DD"/>
    <w:rsid w:val="00865047"/>
    <w:rsid w:val="00865BF7"/>
    <w:rsid w:val="00866B3D"/>
    <w:rsid w:val="0087121C"/>
    <w:rsid w:val="0087288C"/>
    <w:rsid w:val="00872947"/>
    <w:rsid w:val="0087386E"/>
    <w:rsid w:val="00873FEF"/>
    <w:rsid w:val="008748DD"/>
    <w:rsid w:val="00875581"/>
    <w:rsid w:val="00875FD0"/>
    <w:rsid w:val="008806C2"/>
    <w:rsid w:val="00883368"/>
    <w:rsid w:val="008852C6"/>
    <w:rsid w:val="0088746A"/>
    <w:rsid w:val="00891C3A"/>
    <w:rsid w:val="00895801"/>
    <w:rsid w:val="00895F08"/>
    <w:rsid w:val="008A0DDB"/>
    <w:rsid w:val="008A31EE"/>
    <w:rsid w:val="008A6A31"/>
    <w:rsid w:val="008A71E0"/>
    <w:rsid w:val="008A726A"/>
    <w:rsid w:val="008B3568"/>
    <w:rsid w:val="008B381E"/>
    <w:rsid w:val="008B3AC4"/>
    <w:rsid w:val="008B4B15"/>
    <w:rsid w:val="008B5B72"/>
    <w:rsid w:val="008C285A"/>
    <w:rsid w:val="008C5A40"/>
    <w:rsid w:val="008C6AC6"/>
    <w:rsid w:val="008C7253"/>
    <w:rsid w:val="008C7730"/>
    <w:rsid w:val="008D007A"/>
    <w:rsid w:val="008D05AD"/>
    <w:rsid w:val="008D15AC"/>
    <w:rsid w:val="008D2102"/>
    <w:rsid w:val="008D2B9D"/>
    <w:rsid w:val="008D3157"/>
    <w:rsid w:val="008D4BDA"/>
    <w:rsid w:val="008D5FAF"/>
    <w:rsid w:val="008D785F"/>
    <w:rsid w:val="008E4BE7"/>
    <w:rsid w:val="008E4CA2"/>
    <w:rsid w:val="008E5797"/>
    <w:rsid w:val="008F1F05"/>
    <w:rsid w:val="008F2848"/>
    <w:rsid w:val="008F444D"/>
    <w:rsid w:val="008F6515"/>
    <w:rsid w:val="009004CB"/>
    <w:rsid w:val="00904D3D"/>
    <w:rsid w:val="0090779A"/>
    <w:rsid w:val="00907B26"/>
    <w:rsid w:val="00910F25"/>
    <w:rsid w:val="0092646B"/>
    <w:rsid w:val="009272AB"/>
    <w:rsid w:val="00930EC8"/>
    <w:rsid w:val="009321CA"/>
    <w:rsid w:val="00932901"/>
    <w:rsid w:val="00933601"/>
    <w:rsid w:val="00934EED"/>
    <w:rsid w:val="00935BA8"/>
    <w:rsid w:val="00941741"/>
    <w:rsid w:val="0094321D"/>
    <w:rsid w:val="00944405"/>
    <w:rsid w:val="00946D12"/>
    <w:rsid w:val="00950205"/>
    <w:rsid w:val="0095038D"/>
    <w:rsid w:val="00953E4D"/>
    <w:rsid w:val="00955B85"/>
    <w:rsid w:val="00955D63"/>
    <w:rsid w:val="00956930"/>
    <w:rsid w:val="0096381D"/>
    <w:rsid w:val="00967010"/>
    <w:rsid w:val="00967B35"/>
    <w:rsid w:val="00970E2D"/>
    <w:rsid w:val="00972BF7"/>
    <w:rsid w:val="00972FBA"/>
    <w:rsid w:val="00973BD8"/>
    <w:rsid w:val="00973C49"/>
    <w:rsid w:val="00973F2B"/>
    <w:rsid w:val="009740B6"/>
    <w:rsid w:val="009743F1"/>
    <w:rsid w:val="00975659"/>
    <w:rsid w:val="00976F5C"/>
    <w:rsid w:val="009779A0"/>
    <w:rsid w:val="00977E9C"/>
    <w:rsid w:val="009840D8"/>
    <w:rsid w:val="009843AD"/>
    <w:rsid w:val="0098482E"/>
    <w:rsid w:val="00984B00"/>
    <w:rsid w:val="00984B41"/>
    <w:rsid w:val="00992210"/>
    <w:rsid w:val="00992250"/>
    <w:rsid w:val="009928D3"/>
    <w:rsid w:val="00992A40"/>
    <w:rsid w:val="009A03B5"/>
    <w:rsid w:val="009A03E2"/>
    <w:rsid w:val="009A0F1F"/>
    <w:rsid w:val="009A1F8E"/>
    <w:rsid w:val="009A32AA"/>
    <w:rsid w:val="009A58FA"/>
    <w:rsid w:val="009A5939"/>
    <w:rsid w:val="009A6B75"/>
    <w:rsid w:val="009B2AB7"/>
    <w:rsid w:val="009B2B3B"/>
    <w:rsid w:val="009B38EC"/>
    <w:rsid w:val="009B650C"/>
    <w:rsid w:val="009C0948"/>
    <w:rsid w:val="009C216D"/>
    <w:rsid w:val="009C3037"/>
    <w:rsid w:val="009C4A6D"/>
    <w:rsid w:val="009C6F37"/>
    <w:rsid w:val="009C790A"/>
    <w:rsid w:val="009D422A"/>
    <w:rsid w:val="009D6AD4"/>
    <w:rsid w:val="009E1CC6"/>
    <w:rsid w:val="009E276E"/>
    <w:rsid w:val="009E564A"/>
    <w:rsid w:val="009E6D9B"/>
    <w:rsid w:val="009F36C1"/>
    <w:rsid w:val="009F45AA"/>
    <w:rsid w:val="009F53D5"/>
    <w:rsid w:val="009F5980"/>
    <w:rsid w:val="00A01F77"/>
    <w:rsid w:val="00A02B36"/>
    <w:rsid w:val="00A0557D"/>
    <w:rsid w:val="00A06197"/>
    <w:rsid w:val="00A076E0"/>
    <w:rsid w:val="00A114E3"/>
    <w:rsid w:val="00A11589"/>
    <w:rsid w:val="00A11B0C"/>
    <w:rsid w:val="00A13A99"/>
    <w:rsid w:val="00A1491A"/>
    <w:rsid w:val="00A1635B"/>
    <w:rsid w:val="00A2336C"/>
    <w:rsid w:val="00A253DD"/>
    <w:rsid w:val="00A25448"/>
    <w:rsid w:val="00A3144A"/>
    <w:rsid w:val="00A3399B"/>
    <w:rsid w:val="00A35BCF"/>
    <w:rsid w:val="00A35C51"/>
    <w:rsid w:val="00A35C6A"/>
    <w:rsid w:val="00A3609D"/>
    <w:rsid w:val="00A400B3"/>
    <w:rsid w:val="00A41C1B"/>
    <w:rsid w:val="00A43E49"/>
    <w:rsid w:val="00A4653B"/>
    <w:rsid w:val="00A46C34"/>
    <w:rsid w:val="00A51AA9"/>
    <w:rsid w:val="00A5238C"/>
    <w:rsid w:val="00A52B50"/>
    <w:rsid w:val="00A537F4"/>
    <w:rsid w:val="00A54765"/>
    <w:rsid w:val="00A61268"/>
    <w:rsid w:val="00A6272F"/>
    <w:rsid w:val="00A6312B"/>
    <w:rsid w:val="00A6386B"/>
    <w:rsid w:val="00A66151"/>
    <w:rsid w:val="00A67AA3"/>
    <w:rsid w:val="00A67F57"/>
    <w:rsid w:val="00A700A0"/>
    <w:rsid w:val="00A70837"/>
    <w:rsid w:val="00A74E1B"/>
    <w:rsid w:val="00A76B74"/>
    <w:rsid w:val="00A82F16"/>
    <w:rsid w:val="00A83BDE"/>
    <w:rsid w:val="00A83F78"/>
    <w:rsid w:val="00A86FDC"/>
    <w:rsid w:val="00A87002"/>
    <w:rsid w:val="00A95A9D"/>
    <w:rsid w:val="00A96AB4"/>
    <w:rsid w:val="00A96B9E"/>
    <w:rsid w:val="00A96FA3"/>
    <w:rsid w:val="00AA1645"/>
    <w:rsid w:val="00AA379B"/>
    <w:rsid w:val="00AA39FE"/>
    <w:rsid w:val="00AA3D31"/>
    <w:rsid w:val="00AA3DED"/>
    <w:rsid w:val="00AA576E"/>
    <w:rsid w:val="00AA6E34"/>
    <w:rsid w:val="00AA70A4"/>
    <w:rsid w:val="00AB289B"/>
    <w:rsid w:val="00AB596C"/>
    <w:rsid w:val="00AB5F8F"/>
    <w:rsid w:val="00AB6F0C"/>
    <w:rsid w:val="00AB70C0"/>
    <w:rsid w:val="00AC766D"/>
    <w:rsid w:val="00AD000C"/>
    <w:rsid w:val="00AD19C1"/>
    <w:rsid w:val="00AD52EA"/>
    <w:rsid w:val="00AD538E"/>
    <w:rsid w:val="00AD6A16"/>
    <w:rsid w:val="00AE0BFE"/>
    <w:rsid w:val="00AE0E56"/>
    <w:rsid w:val="00AE0FC9"/>
    <w:rsid w:val="00AE2EC8"/>
    <w:rsid w:val="00AE39AB"/>
    <w:rsid w:val="00AE3D8C"/>
    <w:rsid w:val="00AE5A77"/>
    <w:rsid w:val="00AF1068"/>
    <w:rsid w:val="00AF123B"/>
    <w:rsid w:val="00AF4173"/>
    <w:rsid w:val="00AF5809"/>
    <w:rsid w:val="00AF704B"/>
    <w:rsid w:val="00B00859"/>
    <w:rsid w:val="00B0151E"/>
    <w:rsid w:val="00B02866"/>
    <w:rsid w:val="00B049BD"/>
    <w:rsid w:val="00B05D8E"/>
    <w:rsid w:val="00B07324"/>
    <w:rsid w:val="00B10894"/>
    <w:rsid w:val="00B10CF6"/>
    <w:rsid w:val="00B12EB5"/>
    <w:rsid w:val="00B15096"/>
    <w:rsid w:val="00B15CB0"/>
    <w:rsid w:val="00B20A95"/>
    <w:rsid w:val="00B20F8B"/>
    <w:rsid w:val="00B23FE2"/>
    <w:rsid w:val="00B30136"/>
    <w:rsid w:val="00B30204"/>
    <w:rsid w:val="00B30ED5"/>
    <w:rsid w:val="00B316B7"/>
    <w:rsid w:val="00B328EB"/>
    <w:rsid w:val="00B352B4"/>
    <w:rsid w:val="00B35A7E"/>
    <w:rsid w:val="00B3737D"/>
    <w:rsid w:val="00B41409"/>
    <w:rsid w:val="00B42708"/>
    <w:rsid w:val="00B43124"/>
    <w:rsid w:val="00B459C2"/>
    <w:rsid w:val="00B46D21"/>
    <w:rsid w:val="00B509A1"/>
    <w:rsid w:val="00B50A22"/>
    <w:rsid w:val="00B54592"/>
    <w:rsid w:val="00B54CDA"/>
    <w:rsid w:val="00B54E77"/>
    <w:rsid w:val="00B63202"/>
    <w:rsid w:val="00B63242"/>
    <w:rsid w:val="00B63574"/>
    <w:rsid w:val="00B63B35"/>
    <w:rsid w:val="00B64D69"/>
    <w:rsid w:val="00B6537D"/>
    <w:rsid w:val="00B65738"/>
    <w:rsid w:val="00B71084"/>
    <w:rsid w:val="00B71AC3"/>
    <w:rsid w:val="00B7206D"/>
    <w:rsid w:val="00B72E97"/>
    <w:rsid w:val="00B738F2"/>
    <w:rsid w:val="00B73FDB"/>
    <w:rsid w:val="00B80857"/>
    <w:rsid w:val="00B81D12"/>
    <w:rsid w:val="00B8221E"/>
    <w:rsid w:val="00B83D33"/>
    <w:rsid w:val="00B91591"/>
    <w:rsid w:val="00BA0D03"/>
    <w:rsid w:val="00BA3660"/>
    <w:rsid w:val="00BA3E34"/>
    <w:rsid w:val="00BA4D8B"/>
    <w:rsid w:val="00BB092B"/>
    <w:rsid w:val="00BB1533"/>
    <w:rsid w:val="00BB3220"/>
    <w:rsid w:val="00BB3799"/>
    <w:rsid w:val="00BB3854"/>
    <w:rsid w:val="00BB5A7F"/>
    <w:rsid w:val="00BC3075"/>
    <w:rsid w:val="00BC64CE"/>
    <w:rsid w:val="00BD1517"/>
    <w:rsid w:val="00BD5226"/>
    <w:rsid w:val="00BD67DB"/>
    <w:rsid w:val="00BD6C24"/>
    <w:rsid w:val="00BD75C6"/>
    <w:rsid w:val="00BE2CCA"/>
    <w:rsid w:val="00BE4F8F"/>
    <w:rsid w:val="00BE5EE4"/>
    <w:rsid w:val="00BE6F27"/>
    <w:rsid w:val="00BF020C"/>
    <w:rsid w:val="00BF10C2"/>
    <w:rsid w:val="00BF6AEF"/>
    <w:rsid w:val="00BF7B57"/>
    <w:rsid w:val="00BF7CAC"/>
    <w:rsid w:val="00C0183B"/>
    <w:rsid w:val="00C01FFF"/>
    <w:rsid w:val="00C02BE8"/>
    <w:rsid w:val="00C14465"/>
    <w:rsid w:val="00C14606"/>
    <w:rsid w:val="00C160FC"/>
    <w:rsid w:val="00C20A7A"/>
    <w:rsid w:val="00C229C6"/>
    <w:rsid w:val="00C240B2"/>
    <w:rsid w:val="00C24187"/>
    <w:rsid w:val="00C261DB"/>
    <w:rsid w:val="00C27C77"/>
    <w:rsid w:val="00C304D5"/>
    <w:rsid w:val="00C31802"/>
    <w:rsid w:val="00C3222E"/>
    <w:rsid w:val="00C33A33"/>
    <w:rsid w:val="00C340D2"/>
    <w:rsid w:val="00C35055"/>
    <w:rsid w:val="00C3517B"/>
    <w:rsid w:val="00C418DD"/>
    <w:rsid w:val="00C42704"/>
    <w:rsid w:val="00C434E8"/>
    <w:rsid w:val="00C4434A"/>
    <w:rsid w:val="00C4508E"/>
    <w:rsid w:val="00C45095"/>
    <w:rsid w:val="00C473C4"/>
    <w:rsid w:val="00C515B2"/>
    <w:rsid w:val="00C529C8"/>
    <w:rsid w:val="00C52CDE"/>
    <w:rsid w:val="00C5447B"/>
    <w:rsid w:val="00C629B8"/>
    <w:rsid w:val="00C62AEB"/>
    <w:rsid w:val="00C651B3"/>
    <w:rsid w:val="00C66EA6"/>
    <w:rsid w:val="00C67657"/>
    <w:rsid w:val="00C718E7"/>
    <w:rsid w:val="00C71F4D"/>
    <w:rsid w:val="00C75C7D"/>
    <w:rsid w:val="00C8372B"/>
    <w:rsid w:val="00C85429"/>
    <w:rsid w:val="00C85A39"/>
    <w:rsid w:val="00C86676"/>
    <w:rsid w:val="00C8695D"/>
    <w:rsid w:val="00C875BF"/>
    <w:rsid w:val="00C906F9"/>
    <w:rsid w:val="00C92341"/>
    <w:rsid w:val="00C93857"/>
    <w:rsid w:val="00CA2DA1"/>
    <w:rsid w:val="00CA32E1"/>
    <w:rsid w:val="00CA41EF"/>
    <w:rsid w:val="00CA47C7"/>
    <w:rsid w:val="00CA7EB9"/>
    <w:rsid w:val="00CB1407"/>
    <w:rsid w:val="00CB28B5"/>
    <w:rsid w:val="00CB2A3A"/>
    <w:rsid w:val="00CB2EBA"/>
    <w:rsid w:val="00CB520E"/>
    <w:rsid w:val="00CB7D3C"/>
    <w:rsid w:val="00CC01E2"/>
    <w:rsid w:val="00CC2800"/>
    <w:rsid w:val="00CC4988"/>
    <w:rsid w:val="00CC7AB0"/>
    <w:rsid w:val="00CD1BF9"/>
    <w:rsid w:val="00CD3B6D"/>
    <w:rsid w:val="00CD450F"/>
    <w:rsid w:val="00CD6197"/>
    <w:rsid w:val="00CD693A"/>
    <w:rsid w:val="00CE2C72"/>
    <w:rsid w:val="00CE4950"/>
    <w:rsid w:val="00CE5CBD"/>
    <w:rsid w:val="00CE6708"/>
    <w:rsid w:val="00CE7DC6"/>
    <w:rsid w:val="00CF0EC1"/>
    <w:rsid w:val="00CF1BAF"/>
    <w:rsid w:val="00CF516D"/>
    <w:rsid w:val="00CF6004"/>
    <w:rsid w:val="00CF61BD"/>
    <w:rsid w:val="00CF7072"/>
    <w:rsid w:val="00D01655"/>
    <w:rsid w:val="00D026F1"/>
    <w:rsid w:val="00D04145"/>
    <w:rsid w:val="00D0572F"/>
    <w:rsid w:val="00D07E3B"/>
    <w:rsid w:val="00D129D6"/>
    <w:rsid w:val="00D13424"/>
    <w:rsid w:val="00D1645C"/>
    <w:rsid w:val="00D206CA"/>
    <w:rsid w:val="00D209F5"/>
    <w:rsid w:val="00D27A88"/>
    <w:rsid w:val="00D31C73"/>
    <w:rsid w:val="00D329D7"/>
    <w:rsid w:val="00D3487F"/>
    <w:rsid w:val="00D36302"/>
    <w:rsid w:val="00D365C9"/>
    <w:rsid w:val="00D36D13"/>
    <w:rsid w:val="00D42F7C"/>
    <w:rsid w:val="00D44355"/>
    <w:rsid w:val="00D44859"/>
    <w:rsid w:val="00D45F81"/>
    <w:rsid w:val="00D479A1"/>
    <w:rsid w:val="00D502F9"/>
    <w:rsid w:val="00D505BB"/>
    <w:rsid w:val="00D50820"/>
    <w:rsid w:val="00D53AC5"/>
    <w:rsid w:val="00D5756E"/>
    <w:rsid w:val="00D606E7"/>
    <w:rsid w:val="00D65D0A"/>
    <w:rsid w:val="00D65FCB"/>
    <w:rsid w:val="00D70903"/>
    <w:rsid w:val="00D7113F"/>
    <w:rsid w:val="00D73255"/>
    <w:rsid w:val="00D7333C"/>
    <w:rsid w:val="00D7367D"/>
    <w:rsid w:val="00D73A3A"/>
    <w:rsid w:val="00D73C16"/>
    <w:rsid w:val="00D73F27"/>
    <w:rsid w:val="00D74D96"/>
    <w:rsid w:val="00D764B0"/>
    <w:rsid w:val="00D835B8"/>
    <w:rsid w:val="00D86C04"/>
    <w:rsid w:val="00D970DA"/>
    <w:rsid w:val="00DA0560"/>
    <w:rsid w:val="00DA0C0B"/>
    <w:rsid w:val="00DA2D75"/>
    <w:rsid w:val="00DA6B63"/>
    <w:rsid w:val="00DB053D"/>
    <w:rsid w:val="00DB1AFC"/>
    <w:rsid w:val="00DB21FC"/>
    <w:rsid w:val="00DB5B6C"/>
    <w:rsid w:val="00DC2AB9"/>
    <w:rsid w:val="00DC3765"/>
    <w:rsid w:val="00DC585D"/>
    <w:rsid w:val="00DC6242"/>
    <w:rsid w:val="00DC6F10"/>
    <w:rsid w:val="00DD28B6"/>
    <w:rsid w:val="00DD2992"/>
    <w:rsid w:val="00DD3E61"/>
    <w:rsid w:val="00DD4559"/>
    <w:rsid w:val="00DD5551"/>
    <w:rsid w:val="00DD6C80"/>
    <w:rsid w:val="00DD7DDC"/>
    <w:rsid w:val="00DE1A13"/>
    <w:rsid w:val="00DE2159"/>
    <w:rsid w:val="00DE33DC"/>
    <w:rsid w:val="00DE46E8"/>
    <w:rsid w:val="00DE48C7"/>
    <w:rsid w:val="00DE5FD6"/>
    <w:rsid w:val="00DE6A35"/>
    <w:rsid w:val="00DF3546"/>
    <w:rsid w:val="00DF43A4"/>
    <w:rsid w:val="00DF4C5B"/>
    <w:rsid w:val="00DF54AD"/>
    <w:rsid w:val="00DF6CDB"/>
    <w:rsid w:val="00DF70E7"/>
    <w:rsid w:val="00E0020C"/>
    <w:rsid w:val="00E00B29"/>
    <w:rsid w:val="00E01647"/>
    <w:rsid w:val="00E02E72"/>
    <w:rsid w:val="00E05DF1"/>
    <w:rsid w:val="00E06013"/>
    <w:rsid w:val="00E06FFB"/>
    <w:rsid w:val="00E07879"/>
    <w:rsid w:val="00E100E9"/>
    <w:rsid w:val="00E114E5"/>
    <w:rsid w:val="00E1283E"/>
    <w:rsid w:val="00E13701"/>
    <w:rsid w:val="00E13E35"/>
    <w:rsid w:val="00E156ED"/>
    <w:rsid w:val="00E16631"/>
    <w:rsid w:val="00E17895"/>
    <w:rsid w:val="00E21291"/>
    <w:rsid w:val="00E24D97"/>
    <w:rsid w:val="00E25B2A"/>
    <w:rsid w:val="00E25C4A"/>
    <w:rsid w:val="00E26743"/>
    <w:rsid w:val="00E26DD7"/>
    <w:rsid w:val="00E3085E"/>
    <w:rsid w:val="00E33442"/>
    <w:rsid w:val="00E3407A"/>
    <w:rsid w:val="00E36B92"/>
    <w:rsid w:val="00E37975"/>
    <w:rsid w:val="00E40667"/>
    <w:rsid w:val="00E40867"/>
    <w:rsid w:val="00E41C90"/>
    <w:rsid w:val="00E436D6"/>
    <w:rsid w:val="00E47D1B"/>
    <w:rsid w:val="00E50F47"/>
    <w:rsid w:val="00E51218"/>
    <w:rsid w:val="00E535CA"/>
    <w:rsid w:val="00E54546"/>
    <w:rsid w:val="00E54E48"/>
    <w:rsid w:val="00E551A1"/>
    <w:rsid w:val="00E55274"/>
    <w:rsid w:val="00E60E3A"/>
    <w:rsid w:val="00E61734"/>
    <w:rsid w:val="00E65238"/>
    <w:rsid w:val="00E669EB"/>
    <w:rsid w:val="00E66F9F"/>
    <w:rsid w:val="00E7257E"/>
    <w:rsid w:val="00E740BE"/>
    <w:rsid w:val="00E775A2"/>
    <w:rsid w:val="00E77F9D"/>
    <w:rsid w:val="00E8052D"/>
    <w:rsid w:val="00E823E1"/>
    <w:rsid w:val="00E82CF7"/>
    <w:rsid w:val="00E83816"/>
    <w:rsid w:val="00E84113"/>
    <w:rsid w:val="00E84613"/>
    <w:rsid w:val="00E84BAC"/>
    <w:rsid w:val="00E86AAE"/>
    <w:rsid w:val="00E87E17"/>
    <w:rsid w:val="00E94010"/>
    <w:rsid w:val="00E94060"/>
    <w:rsid w:val="00EA0C46"/>
    <w:rsid w:val="00EA1162"/>
    <w:rsid w:val="00EA19A0"/>
    <w:rsid w:val="00EA2D5B"/>
    <w:rsid w:val="00EA6897"/>
    <w:rsid w:val="00EA6F00"/>
    <w:rsid w:val="00EA7A87"/>
    <w:rsid w:val="00EB0CAF"/>
    <w:rsid w:val="00EB1348"/>
    <w:rsid w:val="00EB1B3A"/>
    <w:rsid w:val="00EB738F"/>
    <w:rsid w:val="00EC4F2E"/>
    <w:rsid w:val="00EC566B"/>
    <w:rsid w:val="00EC63EB"/>
    <w:rsid w:val="00EC7190"/>
    <w:rsid w:val="00ED2038"/>
    <w:rsid w:val="00ED3C13"/>
    <w:rsid w:val="00ED597E"/>
    <w:rsid w:val="00ED66B1"/>
    <w:rsid w:val="00EE366E"/>
    <w:rsid w:val="00EE3F5F"/>
    <w:rsid w:val="00EE48CB"/>
    <w:rsid w:val="00EE4CB8"/>
    <w:rsid w:val="00EE50D3"/>
    <w:rsid w:val="00EE5BA7"/>
    <w:rsid w:val="00EE5C0B"/>
    <w:rsid w:val="00EF03D8"/>
    <w:rsid w:val="00EF1668"/>
    <w:rsid w:val="00EF1A13"/>
    <w:rsid w:val="00EF1AE8"/>
    <w:rsid w:val="00EF23A8"/>
    <w:rsid w:val="00EF2DCD"/>
    <w:rsid w:val="00EF61A3"/>
    <w:rsid w:val="00EF6F75"/>
    <w:rsid w:val="00EF795D"/>
    <w:rsid w:val="00F01C58"/>
    <w:rsid w:val="00F03E3A"/>
    <w:rsid w:val="00F05BE3"/>
    <w:rsid w:val="00F0645A"/>
    <w:rsid w:val="00F1166C"/>
    <w:rsid w:val="00F12692"/>
    <w:rsid w:val="00F14400"/>
    <w:rsid w:val="00F23A75"/>
    <w:rsid w:val="00F24BAD"/>
    <w:rsid w:val="00F30583"/>
    <w:rsid w:val="00F313BB"/>
    <w:rsid w:val="00F3193B"/>
    <w:rsid w:val="00F31CCA"/>
    <w:rsid w:val="00F32841"/>
    <w:rsid w:val="00F42AD9"/>
    <w:rsid w:val="00F44F43"/>
    <w:rsid w:val="00F44FF0"/>
    <w:rsid w:val="00F452D8"/>
    <w:rsid w:val="00F47B9B"/>
    <w:rsid w:val="00F51FEA"/>
    <w:rsid w:val="00F5735F"/>
    <w:rsid w:val="00F610FF"/>
    <w:rsid w:val="00F61724"/>
    <w:rsid w:val="00F6217E"/>
    <w:rsid w:val="00F625BD"/>
    <w:rsid w:val="00F632B2"/>
    <w:rsid w:val="00F63F0B"/>
    <w:rsid w:val="00F70F21"/>
    <w:rsid w:val="00F7200A"/>
    <w:rsid w:val="00F7293A"/>
    <w:rsid w:val="00F72FC7"/>
    <w:rsid w:val="00F733F1"/>
    <w:rsid w:val="00F75ED1"/>
    <w:rsid w:val="00F816EF"/>
    <w:rsid w:val="00F81DD9"/>
    <w:rsid w:val="00F820AD"/>
    <w:rsid w:val="00F822BA"/>
    <w:rsid w:val="00F841DA"/>
    <w:rsid w:val="00F854E0"/>
    <w:rsid w:val="00F86770"/>
    <w:rsid w:val="00F86E2C"/>
    <w:rsid w:val="00F91758"/>
    <w:rsid w:val="00F94709"/>
    <w:rsid w:val="00F96DA7"/>
    <w:rsid w:val="00FA3966"/>
    <w:rsid w:val="00FA3B19"/>
    <w:rsid w:val="00FA61EF"/>
    <w:rsid w:val="00FA76ED"/>
    <w:rsid w:val="00FB0D7F"/>
    <w:rsid w:val="00FB0DA1"/>
    <w:rsid w:val="00FB430D"/>
    <w:rsid w:val="00FB5737"/>
    <w:rsid w:val="00FB5E65"/>
    <w:rsid w:val="00FB6361"/>
    <w:rsid w:val="00FB710A"/>
    <w:rsid w:val="00FC3854"/>
    <w:rsid w:val="00FC4936"/>
    <w:rsid w:val="00FC49D3"/>
    <w:rsid w:val="00FC5A2A"/>
    <w:rsid w:val="00FD1944"/>
    <w:rsid w:val="00FD1F52"/>
    <w:rsid w:val="00FD3428"/>
    <w:rsid w:val="00FD3770"/>
    <w:rsid w:val="00FD4CD7"/>
    <w:rsid w:val="00FD57AC"/>
    <w:rsid w:val="00FD582D"/>
    <w:rsid w:val="00FD611E"/>
    <w:rsid w:val="00FD7B92"/>
    <w:rsid w:val="00FE58F8"/>
    <w:rsid w:val="00FE6D25"/>
    <w:rsid w:val="00FF175B"/>
    <w:rsid w:val="00FF2132"/>
    <w:rsid w:val="00FF5F96"/>
    <w:rsid w:val="0BAE41AC"/>
    <w:rsid w:val="0DE8115D"/>
    <w:rsid w:val="11A26BD7"/>
    <w:rsid w:val="16FE6FD0"/>
    <w:rsid w:val="18A845AA"/>
    <w:rsid w:val="27496228"/>
    <w:rsid w:val="2B0E552F"/>
    <w:rsid w:val="2C437500"/>
    <w:rsid w:val="2C79085A"/>
    <w:rsid w:val="2F851376"/>
    <w:rsid w:val="38F22209"/>
    <w:rsid w:val="3A04027A"/>
    <w:rsid w:val="3FF625EA"/>
    <w:rsid w:val="409656D9"/>
    <w:rsid w:val="45E32861"/>
    <w:rsid w:val="49AF36A0"/>
    <w:rsid w:val="4ABC53C3"/>
    <w:rsid w:val="533273B1"/>
    <w:rsid w:val="55376A31"/>
    <w:rsid w:val="5D1C3D33"/>
    <w:rsid w:val="63AF5DFA"/>
    <w:rsid w:val="64474EE1"/>
    <w:rsid w:val="7816262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00" w:firstLineChars="20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25"/>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99"/>
    <w:pPr>
      <w:keepNext/>
      <w:keepLines/>
      <w:spacing w:before="260" w:after="260" w:line="416" w:lineRule="auto"/>
      <w:outlineLvl w:val="1"/>
    </w:pPr>
    <w:rPr>
      <w:rFonts w:ascii="Cambria" w:hAnsi="Cambria" w:eastAsia="宋体"/>
      <w:b/>
      <w:bCs/>
      <w:kern w:val="0"/>
    </w:rPr>
  </w:style>
  <w:style w:type="paragraph" w:styleId="4">
    <w:name w:val="heading 3"/>
    <w:basedOn w:val="1"/>
    <w:next w:val="1"/>
    <w:link w:val="27"/>
    <w:qFormat/>
    <w:uiPriority w:val="99"/>
    <w:pPr>
      <w:keepNext/>
      <w:keepLines/>
      <w:outlineLvl w:val="2"/>
    </w:pPr>
    <w:rPr>
      <w:rFonts w:eastAsia="黑体"/>
    </w:rPr>
  </w:style>
  <w:style w:type="paragraph" w:styleId="5">
    <w:name w:val="heading 4"/>
    <w:basedOn w:val="1"/>
    <w:next w:val="1"/>
    <w:link w:val="28"/>
    <w:qFormat/>
    <w:uiPriority w:val="99"/>
    <w:pPr>
      <w:keepNext/>
      <w:keepLines/>
      <w:outlineLvl w:val="3"/>
    </w:pPr>
    <w:rPr>
      <w:rFonts w:eastAsia="楷体_GB2312"/>
    </w:rPr>
  </w:style>
  <w:style w:type="paragraph" w:styleId="6">
    <w:name w:val="heading 5"/>
    <w:basedOn w:val="1"/>
    <w:next w:val="1"/>
    <w:link w:val="29"/>
    <w:qFormat/>
    <w:uiPriority w:val="99"/>
    <w:pPr>
      <w:keepNext/>
      <w:keepLines/>
      <w:spacing w:before="280" w:after="290" w:line="374" w:lineRule="auto"/>
      <w:outlineLvl w:val="4"/>
    </w:pPr>
    <w:rPr>
      <w:rFonts w:eastAsia="宋体"/>
      <w:b/>
      <w:bCs/>
      <w:kern w:val="0"/>
      <w:sz w:val="28"/>
      <w:szCs w:val="28"/>
    </w:rPr>
  </w:style>
  <w:style w:type="character" w:default="1" w:styleId="20">
    <w:name w:val="Default Paragraph Font"/>
    <w:unhideWhenUsed/>
    <w:qFormat/>
    <w:uiPriority w:val="1"/>
  </w:style>
  <w:style w:type="table" w:default="1" w:styleId="24">
    <w:name w:val="Normal Table"/>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31"/>
    <w:qFormat/>
    <w:uiPriority w:val="99"/>
    <w:rPr>
      <w:b/>
      <w:bCs/>
    </w:rPr>
  </w:style>
  <w:style w:type="paragraph" w:styleId="8">
    <w:name w:val="annotation text"/>
    <w:basedOn w:val="1"/>
    <w:link w:val="30"/>
    <w:qFormat/>
    <w:uiPriority w:val="99"/>
    <w:pPr>
      <w:jc w:val="left"/>
    </w:pPr>
    <w:rPr>
      <w:rFonts w:eastAsia="宋体"/>
      <w:kern w:val="0"/>
      <w:sz w:val="20"/>
      <w:szCs w:val="20"/>
    </w:rPr>
  </w:style>
  <w:style w:type="paragraph" w:styleId="9">
    <w:name w:val="toc 3"/>
    <w:basedOn w:val="1"/>
    <w:next w:val="1"/>
    <w:qFormat/>
    <w:uiPriority w:val="39"/>
    <w:pPr>
      <w:tabs>
        <w:tab w:val="right" w:leader="dot" w:pos="8296"/>
      </w:tabs>
      <w:jc w:val="center"/>
    </w:pPr>
    <w:rPr>
      <w:rFonts w:ascii="方正小标宋简体" w:hAnsi="黑体" w:eastAsia="方正小标宋简体"/>
      <w:b/>
    </w:rPr>
  </w:style>
  <w:style w:type="paragraph" w:styleId="10">
    <w:name w:val="Plain Text"/>
    <w:basedOn w:val="1"/>
    <w:link w:val="32"/>
    <w:qFormat/>
    <w:uiPriority w:val="99"/>
    <w:rPr>
      <w:rFonts w:ascii="宋体" w:hAnsi="Courier New" w:eastAsia="宋体"/>
      <w:kern w:val="0"/>
      <w:sz w:val="21"/>
      <w:szCs w:val="21"/>
    </w:rPr>
  </w:style>
  <w:style w:type="paragraph" w:styleId="11">
    <w:name w:val="Date"/>
    <w:basedOn w:val="1"/>
    <w:next w:val="1"/>
    <w:link w:val="33"/>
    <w:qFormat/>
    <w:uiPriority w:val="99"/>
    <w:pPr>
      <w:ind w:left="100" w:leftChars="2500"/>
    </w:pPr>
    <w:rPr>
      <w:rFonts w:eastAsia="宋体"/>
      <w:kern w:val="0"/>
      <w:sz w:val="20"/>
      <w:szCs w:val="20"/>
    </w:rPr>
  </w:style>
  <w:style w:type="paragraph" w:styleId="12">
    <w:name w:val="Balloon Text"/>
    <w:basedOn w:val="1"/>
    <w:link w:val="34"/>
    <w:qFormat/>
    <w:uiPriority w:val="99"/>
    <w:rPr>
      <w:rFonts w:eastAsia="宋体"/>
      <w:kern w:val="0"/>
      <w:sz w:val="18"/>
      <w:szCs w:val="18"/>
    </w:rPr>
  </w:style>
  <w:style w:type="paragraph" w:styleId="13">
    <w:name w:val="footer"/>
    <w:basedOn w:val="1"/>
    <w:link w:val="35"/>
    <w:qFormat/>
    <w:uiPriority w:val="99"/>
    <w:pPr>
      <w:tabs>
        <w:tab w:val="center" w:pos="4153"/>
        <w:tab w:val="right" w:pos="8306"/>
      </w:tabs>
      <w:snapToGrid w:val="0"/>
      <w:jc w:val="left"/>
    </w:pPr>
    <w:rPr>
      <w:rFonts w:eastAsia="宋体"/>
      <w:kern w:val="0"/>
      <w:sz w:val="18"/>
      <w:szCs w:val="18"/>
    </w:rPr>
  </w:style>
  <w:style w:type="paragraph" w:styleId="14">
    <w:name w:val="header"/>
    <w:basedOn w:val="1"/>
    <w:link w:val="36"/>
    <w:qFormat/>
    <w:uiPriority w:val="99"/>
    <w:pPr>
      <w:pBdr>
        <w:bottom w:val="single" w:color="auto" w:sz="6" w:space="1"/>
      </w:pBdr>
      <w:tabs>
        <w:tab w:val="center" w:pos="4153"/>
        <w:tab w:val="right" w:pos="8306"/>
      </w:tabs>
      <w:snapToGrid w:val="0"/>
      <w:jc w:val="center"/>
    </w:pPr>
    <w:rPr>
      <w:rFonts w:eastAsia="宋体"/>
      <w:kern w:val="0"/>
      <w:sz w:val="18"/>
      <w:szCs w:val="18"/>
    </w:rPr>
  </w:style>
  <w:style w:type="paragraph" w:styleId="15">
    <w:name w:val="toc 1"/>
    <w:basedOn w:val="1"/>
    <w:next w:val="1"/>
    <w:qFormat/>
    <w:uiPriority w:val="99"/>
  </w:style>
  <w:style w:type="paragraph" w:styleId="16">
    <w:name w:val="toc 4"/>
    <w:basedOn w:val="1"/>
    <w:next w:val="1"/>
    <w:qFormat/>
    <w:uiPriority w:val="39"/>
    <w:pPr>
      <w:tabs>
        <w:tab w:val="right" w:leader="dot" w:pos="8296"/>
      </w:tabs>
      <w:adjustRightInd w:val="0"/>
      <w:snapToGrid w:val="0"/>
      <w:ind w:left="1060" w:leftChars="355" w:hanging="350" w:hangingChars="175"/>
    </w:pPr>
  </w:style>
  <w:style w:type="paragraph" w:styleId="17">
    <w:name w:val="toc 2"/>
    <w:basedOn w:val="1"/>
    <w:next w:val="1"/>
    <w:qFormat/>
    <w:uiPriority w:val="39"/>
    <w:pPr>
      <w:tabs>
        <w:tab w:val="right" w:leader="dot" w:pos="8296"/>
      </w:tabs>
      <w:spacing w:line="560" w:lineRule="exact"/>
      <w:ind w:left="400" w:leftChars="200" w:firstLine="308" w:firstLineChars="110"/>
    </w:pPr>
  </w:style>
  <w:style w:type="paragraph" w:styleId="1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9">
    <w:name w:val="Title"/>
    <w:basedOn w:val="1"/>
    <w:link w:val="37"/>
    <w:qFormat/>
    <w:uiPriority w:val="99"/>
    <w:pPr>
      <w:spacing w:before="240" w:after="60"/>
      <w:jc w:val="center"/>
      <w:outlineLvl w:val="0"/>
    </w:pPr>
    <w:rPr>
      <w:rFonts w:ascii="Arial" w:hAnsi="Arial" w:eastAsia="宋体"/>
      <w:b/>
      <w:bCs/>
      <w:kern w:val="0"/>
    </w:rPr>
  </w:style>
  <w:style w:type="character" w:styleId="21">
    <w:name w:val="Strong"/>
    <w:qFormat/>
    <w:uiPriority w:val="99"/>
    <w:rPr>
      <w:rFonts w:cs="Times New Roman"/>
      <w:b/>
    </w:rPr>
  </w:style>
  <w:style w:type="character" w:styleId="22">
    <w:name w:val="Hyperlink"/>
    <w:qFormat/>
    <w:uiPriority w:val="99"/>
    <w:rPr>
      <w:rFonts w:cs="Times New Roman"/>
      <w:color w:val="0000FF"/>
      <w:u w:val="single"/>
    </w:rPr>
  </w:style>
  <w:style w:type="character" w:styleId="23">
    <w:name w:val="annotation reference"/>
    <w:qFormat/>
    <w:uiPriority w:val="99"/>
    <w:rPr>
      <w:rFonts w:cs="Times New Roman"/>
      <w:sz w:val="21"/>
    </w:rPr>
  </w:style>
  <w:style w:type="character" w:customStyle="1" w:styleId="25">
    <w:name w:val="标题 1 字符"/>
    <w:link w:val="2"/>
    <w:qFormat/>
    <w:locked/>
    <w:uiPriority w:val="99"/>
    <w:rPr>
      <w:rFonts w:eastAsia="仿宋_GB2312" w:cs="Times New Roman"/>
      <w:b/>
      <w:kern w:val="44"/>
      <w:sz w:val="44"/>
    </w:rPr>
  </w:style>
  <w:style w:type="character" w:customStyle="1" w:styleId="26">
    <w:name w:val="标题 2 字符"/>
    <w:link w:val="3"/>
    <w:semiHidden/>
    <w:qFormat/>
    <w:locked/>
    <w:uiPriority w:val="99"/>
    <w:rPr>
      <w:rFonts w:ascii="Cambria" w:hAnsi="Cambria" w:eastAsia="宋体" w:cs="Times New Roman"/>
      <w:b/>
      <w:sz w:val="32"/>
    </w:rPr>
  </w:style>
  <w:style w:type="character" w:customStyle="1" w:styleId="27">
    <w:name w:val="标题 3 字符"/>
    <w:link w:val="4"/>
    <w:qFormat/>
    <w:locked/>
    <w:uiPriority w:val="99"/>
    <w:rPr>
      <w:rFonts w:eastAsia="黑体" w:cs="Times New Roman"/>
      <w:kern w:val="2"/>
      <w:sz w:val="32"/>
    </w:rPr>
  </w:style>
  <w:style w:type="character" w:customStyle="1" w:styleId="28">
    <w:name w:val="标题 4 字符"/>
    <w:link w:val="5"/>
    <w:qFormat/>
    <w:locked/>
    <w:uiPriority w:val="99"/>
    <w:rPr>
      <w:rFonts w:ascii="Times New Roman" w:hAnsi="Times New Roman" w:eastAsia="楷体_GB2312" w:cs="Times New Roman"/>
      <w:kern w:val="2"/>
      <w:sz w:val="32"/>
    </w:rPr>
  </w:style>
  <w:style w:type="character" w:customStyle="1" w:styleId="29">
    <w:name w:val="标题 5 字符"/>
    <w:link w:val="6"/>
    <w:semiHidden/>
    <w:qFormat/>
    <w:locked/>
    <w:uiPriority w:val="99"/>
    <w:rPr>
      <w:rFonts w:cs="Times New Roman"/>
      <w:b/>
      <w:sz w:val="28"/>
    </w:rPr>
  </w:style>
  <w:style w:type="character" w:customStyle="1" w:styleId="30">
    <w:name w:val="批注文字 字符"/>
    <w:link w:val="8"/>
    <w:qFormat/>
    <w:locked/>
    <w:uiPriority w:val="99"/>
    <w:rPr>
      <w:rFonts w:cs="Times New Roman"/>
    </w:rPr>
  </w:style>
  <w:style w:type="character" w:customStyle="1" w:styleId="31">
    <w:name w:val="批注主题 字符"/>
    <w:link w:val="7"/>
    <w:semiHidden/>
    <w:qFormat/>
    <w:locked/>
    <w:uiPriority w:val="99"/>
    <w:rPr>
      <w:rFonts w:cs="Times New Roman"/>
      <w:b/>
    </w:rPr>
  </w:style>
  <w:style w:type="character" w:customStyle="1" w:styleId="32">
    <w:name w:val="纯文本 字符"/>
    <w:link w:val="10"/>
    <w:qFormat/>
    <w:locked/>
    <w:uiPriority w:val="99"/>
    <w:rPr>
      <w:rFonts w:ascii="宋体" w:hAnsi="Courier New" w:cs="Times New Roman"/>
      <w:sz w:val="21"/>
    </w:rPr>
  </w:style>
  <w:style w:type="character" w:customStyle="1" w:styleId="33">
    <w:name w:val="日期 字符"/>
    <w:link w:val="11"/>
    <w:semiHidden/>
    <w:qFormat/>
    <w:locked/>
    <w:uiPriority w:val="99"/>
    <w:rPr>
      <w:rFonts w:cs="Times New Roman"/>
    </w:rPr>
  </w:style>
  <w:style w:type="character" w:customStyle="1" w:styleId="34">
    <w:name w:val="批注框文本 字符"/>
    <w:link w:val="12"/>
    <w:semiHidden/>
    <w:qFormat/>
    <w:locked/>
    <w:uiPriority w:val="99"/>
    <w:rPr>
      <w:rFonts w:cs="Times New Roman"/>
      <w:sz w:val="18"/>
    </w:rPr>
  </w:style>
  <w:style w:type="character" w:customStyle="1" w:styleId="35">
    <w:name w:val="页脚 字符"/>
    <w:link w:val="13"/>
    <w:qFormat/>
    <w:locked/>
    <w:uiPriority w:val="99"/>
    <w:rPr>
      <w:rFonts w:cs="Times New Roman"/>
      <w:sz w:val="18"/>
    </w:rPr>
  </w:style>
  <w:style w:type="character" w:customStyle="1" w:styleId="36">
    <w:name w:val="页眉 字符"/>
    <w:link w:val="14"/>
    <w:qFormat/>
    <w:locked/>
    <w:uiPriority w:val="99"/>
    <w:rPr>
      <w:rFonts w:cs="Times New Roman"/>
      <w:sz w:val="18"/>
    </w:rPr>
  </w:style>
  <w:style w:type="character" w:customStyle="1" w:styleId="37">
    <w:name w:val="标题 字符"/>
    <w:link w:val="19"/>
    <w:qFormat/>
    <w:locked/>
    <w:uiPriority w:val="99"/>
    <w:rPr>
      <w:rFonts w:ascii="Arial" w:hAnsi="Arial" w:cs="Times New Roman"/>
      <w:b/>
      <w:sz w:val="32"/>
    </w:rPr>
  </w:style>
  <w:style w:type="paragraph" w:customStyle="1" w:styleId="38">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9">
    <w:name w:val="列出段落1"/>
    <w:basedOn w:val="1"/>
    <w:link w:val="40"/>
    <w:qFormat/>
    <w:uiPriority w:val="99"/>
    <w:pPr>
      <w:ind w:firstLine="420"/>
    </w:pPr>
  </w:style>
  <w:style w:type="character" w:customStyle="1" w:styleId="40">
    <w:name w:val="列出段落 Char"/>
    <w:link w:val="39"/>
    <w:qFormat/>
    <w:locked/>
    <w:uiPriority w:val="99"/>
  </w:style>
  <w:style w:type="paragraph" w:customStyle="1" w:styleId="41">
    <w:name w:val="修订1"/>
    <w:hidden/>
    <w:qFormat/>
    <w:uiPriority w:val="99"/>
    <w:rPr>
      <w:rFonts w:ascii="Times New Roman" w:hAnsi="Times New Roman" w:eastAsia="宋体" w:cs="Times New Roman"/>
      <w:kern w:val="2"/>
      <w:lang w:val="en-US" w:eastAsia="zh-CN" w:bidi="ar-SA"/>
    </w:rPr>
  </w:style>
  <w:style w:type="paragraph" w:customStyle="1" w:styleId="42">
    <w:name w:val="Revision"/>
    <w:hidden/>
    <w:semiHidden/>
    <w:qFormat/>
    <w:uiPriority w:val="99"/>
    <w:rPr>
      <w:rFonts w:ascii="Times New Roman" w:hAnsi="Times New Roman" w:eastAsia="仿宋_GB2312" w:cs="Times New Roman"/>
      <w:kern w:val="2"/>
      <w:sz w:val="32"/>
      <w:szCs w:val="32"/>
      <w:lang w:val="en-US" w:eastAsia="zh-CN" w:bidi="ar-SA"/>
    </w:rPr>
  </w:style>
  <w:style w:type="paragraph" w:customStyle="1" w:styleId="43">
    <w:name w:val="TOC Heading"/>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44">
    <w:name w:val="List Paragraph"/>
    <w:basedOn w:val="1"/>
    <w:qFormat/>
    <w:uiPriority w:val="34"/>
    <w:pPr>
      <w:ind w:firstLine="420"/>
    </w:pPr>
  </w:style>
  <w:style w:type="character" w:customStyle="1" w:styleId="45">
    <w:name w:val="批注文字 Char"/>
    <w:basedOn w:val="20"/>
    <w:semiHidden/>
    <w:qFormat/>
    <w:uiPriority w:val="99"/>
    <w:rPr>
      <w:rFonts w:ascii="Times New Roman" w:hAnsi="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4689B8-0441-4A86-BA80-1F7387A06B9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1315</Words>
  <Characters>7497</Characters>
  <Lines>62</Lines>
  <Paragraphs>17</Paragraphs>
  <TotalTime>9</TotalTime>
  <ScaleCrop>false</ScaleCrop>
  <LinksUpToDate>false</LinksUpToDate>
  <CharactersWithSpaces>8795</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2020-04-17T12:10:00Z</dcterms:created>
  <dc:creator>sl2-7</dc:creator>
  <cp:lastModifiedBy>user</cp:lastModifiedBy>
  <cp:lastPrinted>2020-04-22T05:14:00Z</cp:lastPrinted>
  <dcterms:modified xsi:type="dcterms:W3CDTF">2020-04-30T01:34:05Z</dcterms:modified>
  <dc:title>附件2</dc:title>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